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A1C3" w14:textId="7C41CC9F" w:rsidR="009B5CEC" w:rsidRDefault="00000000">
      <w:pPr>
        <w:jc w:val="center"/>
        <w:rPr>
          <w:rFonts w:ascii="宋体" w:hAnsi="宋体"/>
          <w:b/>
          <w:sz w:val="36"/>
          <w:szCs w:val="36"/>
        </w:rPr>
      </w:pPr>
      <w:r>
        <w:rPr>
          <w:rFonts w:ascii="宋体" w:hAnsi="宋体" w:hint="eastAsia"/>
          <w:b/>
          <w:sz w:val="36"/>
          <w:szCs w:val="36"/>
        </w:rPr>
        <w:t>北京市第十届残疾人职业技能竞赛</w:t>
      </w:r>
      <w:r w:rsidR="0094609A">
        <w:rPr>
          <w:rFonts w:ascii="宋体" w:hAnsi="宋体" w:hint="eastAsia"/>
          <w:b/>
          <w:sz w:val="36"/>
          <w:szCs w:val="36"/>
        </w:rPr>
        <w:t>（初赛）</w:t>
      </w:r>
    </w:p>
    <w:p w14:paraId="2D949DC4" w14:textId="1047B806" w:rsidR="009B5CEC" w:rsidRDefault="0094609A">
      <w:pPr>
        <w:jc w:val="center"/>
        <w:rPr>
          <w:rFonts w:ascii="宋体" w:hAnsi="宋体"/>
          <w:b/>
          <w:sz w:val="36"/>
          <w:szCs w:val="36"/>
        </w:rPr>
      </w:pPr>
      <w:r>
        <w:rPr>
          <w:rFonts w:ascii="宋体" w:hAnsi="宋体" w:hint="eastAsia"/>
          <w:b/>
          <w:sz w:val="36"/>
          <w:szCs w:val="36"/>
        </w:rPr>
        <w:t>海淀赛区插花项目竞赛规则</w:t>
      </w:r>
    </w:p>
    <w:p w14:paraId="39753FA5" w14:textId="77777777" w:rsidR="009B5CEC" w:rsidRDefault="00000000">
      <w:pPr>
        <w:spacing w:line="560" w:lineRule="exact"/>
        <w:rPr>
          <w:rFonts w:eastAsia="黑体"/>
          <w:bCs/>
          <w:kern w:val="0"/>
          <w:sz w:val="30"/>
          <w:szCs w:val="30"/>
        </w:rPr>
      </w:pPr>
      <w:r>
        <w:rPr>
          <w:rFonts w:eastAsia="黑体"/>
          <w:bCs/>
          <w:kern w:val="0"/>
          <w:sz w:val="30"/>
          <w:szCs w:val="30"/>
        </w:rPr>
        <w:t>一、竞赛目的</w:t>
      </w:r>
    </w:p>
    <w:p w14:paraId="621775CE" w14:textId="77777777" w:rsidR="009B5CEC" w:rsidRDefault="00000000">
      <w:pPr>
        <w:spacing w:line="560" w:lineRule="exact"/>
        <w:ind w:firstLineChars="200" w:firstLine="600"/>
        <w:rPr>
          <w:rFonts w:eastAsia="仿宋_GB2312"/>
          <w:color w:val="000000"/>
          <w:sz w:val="30"/>
          <w:szCs w:val="30"/>
        </w:rPr>
      </w:pPr>
      <w:r>
        <w:rPr>
          <w:rFonts w:eastAsia="仿宋_GB2312" w:hint="eastAsia"/>
          <w:color w:val="000000"/>
          <w:sz w:val="30"/>
          <w:szCs w:val="30"/>
        </w:rPr>
        <w:t>为</w:t>
      </w:r>
      <w:r>
        <w:rPr>
          <w:rFonts w:eastAsia="仿宋_GB2312"/>
          <w:color w:val="000000"/>
          <w:sz w:val="30"/>
          <w:szCs w:val="30"/>
        </w:rPr>
        <w:t>提</w:t>
      </w:r>
      <w:r>
        <w:rPr>
          <w:rFonts w:eastAsia="仿宋_GB2312" w:hint="eastAsia"/>
          <w:color w:val="000000"/>
          <w:sz w:val="30"/>
          <w:szCs w:val="30"/>
        </w:rPr>
        <w:t>高</w:t>
      </w:r>
      <w:r>
        <w:rPr>
          <w:rFonts w:eastAsia="仿宋_GB2312"/>
          <w:color w:val="000000"/>
          <w:sz w:val="30"/>
          <w:szCs w:val="30"/>
        </w:rPr>
        <w:t>残疾人</w:t>
      </w:r>
      <w:r>
        <w:rPr>
          <w:rFonts w:eastAsia="仿宋_GB2312" w:hint="eastAsia"/>
          <w:color w:val="000000"/>
          <w:sz w:val="30"/>
          <w:szCs w:val="30"/>
        </w:rPr>
        <w:t>插花职业技能和</w:t>
      </w:r>
      <w:r>
        <w:rPr>
          <w:rFonts w:eastAsia="仿宋_GB2312"/>
          <w:color w:val="000000"/>
          <w:sz w:val="30"/>
          <w:szCs w:val="30"/>
        </w:rPr>
        <w:t>综合文化素质</w:t>
      </w:r>
      <w:r>
        <w:rPr>
          <w:rFonts w:eastAsia="仿宋_GB2312" w:hint="eastAsia"/>
          <w:color w:val="000000"/>
          <w:sz w:val="30"/>
          <w:szCs w:val="30"/>
        </w:rPr>
        <w:t>，搭建残疾人展示技艺技能和相互学习交流的平台，增强残疾人就业竞争能力，特举办海淀区第十届残疾人职业技能竞赛——插花竞赛项目</w:t>
      </w:r>
      <w:r>
        <w:rPr>
          <w:rFonts w:eastAsia="仿宋_GB2312"/>
          <w:color w:val="000000"/>
          <w:sz w:val="30"/>
          <w:szCs w:val="30"/>
        </w:rPr>
        <w:t>。</w:t>
      </w:r>
      <w:r>
        <w:rPr>
          <w:rFonts w:eastAsia="仿宋_GB2312" w:hint="eastAsia"/>
          <w:color w:val="000000"/>
          <w:sz w:val="30"/>
          <w:szCs w:val="30"/>
        </w:rPr>
        <w:t>旨在通过技能竞赛展示和检验参赛选手对插花相关知识的理解能力和插花职业技能的掌握和运用能力，促进</w:t>
      </w:r>
      <w:r>
        <w:rPr>
          <w:rFonts w:eastAsia="仿宋_GB2312"/>
          <w:color w:val="000000"/>
          <w:sz w:val="30"/>
          <w:szCs w:val="30"/>
        </w:rPr>
        <w:t>残疾人创新能力</w:t>
      </w:r>
      <w:r>
        <w:rPr>
          <w:rFonts w:eastAsia="仿宋_GB2312" w:hint="eastAsia"/>
          <w:color w:val="000000"/>
          <w:sz w:val="30"/>
          <w:szCs w:val="30"/>
        </w:rPr>
        <w:t>和</w:t>
      </w:r>
      <w:r>
        <w:rPr>
          <w:rFonts w:eastAsia="仿宋_GB2312"/>
          <w:color w:val="000000"/>
          <w:sz w:val="30"/>
          <w:szCs w:val="30"/>
        </w:rPr>
        <w:t>就业</w:t>
      </w:r>
      <w:r>
        <w:rPr>
          <w:rFonts w:eastAsia="仿宋_GB2312" w:hint="eastAsia"/>
          <w:color w:val="000000"/>
          <w:sz w:val="30"/>
          <w:szCs w:val="30"/>
        </w:rPr>
        <w:t>创业能力</w:t>
      </w:r>
      <w:r>
        <w:rPr>
          <w:rFonts w:eastAsia="仿宋_GB2312"/>
          <w:color w:val="000000"/>
          <w:sz w:val="30"/>
          <w:szCs w:val="30"/>
        </w:rPr>
        <w:t>。</w:t>
      </w:r>
    </w:p>
    <w:p w14:paraId="390F4A03" w14:textId="77777777" w:rsidR="009B5CEC" w:rsidRDefault="00000000">
      <w:pPr>
        <w:spacing w:line="560" w:lineRule="exact"/>
        <w:rPr>
          <w:rFonts w:eastAsia="黑体"/>
          <w:bCs/>
          <w:kern w:val="0"/>
          <w:sz w:val="30"/>
          <w:szCs w:val="30"/>
        </w:rPr>
      </w:pPr>
      <w:r>
        <w:rPr>
          <w:rFonts w:eastAsia="黑体"/>
          <w:bCs/>
          <w:kern w:val="0"/>
          <w:sz w:val="30"/>
          <w:szCs w:val="30"/>
        </w:rPr>
        <w:t>二、竞赛</w:t>
      </w:r>
      <w:r>
        <w:rPr>
          <w:rFonts w:eastAsia="黑体" w:hint="eastAsia"/>
          <w:bCs/>
          <w:kern w:val="0"/>
          <w:sz w:val="30"/>
          <w:szCs w:val="30"/>
        </w:rPr>
        <w:t>内容</w:t>
      </w:r>
    </w:p>
    <w:p w14:paraId="1A971754" w14:textId="6AB3C15D" w:rsidR="009B5CEC" w:rsidRDefault="00000000">
      <w:pPr>
        <w:spacing w:line="560" w:lineRule="exact"/>
        <w:ind w:firstLineChars="200" w:firstLine="600"/>
        <w:rPr>
          <w:rFonts w:eastAsia="仿宋_GB2312"/>
          <w:color w:val="000000"/>
          <w:sz w:val="30"/>
          <w:szCs w:val="30"/>
        </w:rPr>
      </w:pPr>
      <w:r>
        <w:rPr>
          <w:rFonts w:eastAsia="仿宋_GB2312" w:hint="eastAsia"/>
          <w:color w:val="000000"/>
          <w:sz w:val="30"/>
          <w:szCs w:val="30"/>
        </w:rPr>
        <w:t>初赛分为理论知识和技能操作两部分。理论成绩权重</w:t>
      </w:r>
      <w:r>
        <w:rPr>
          <w:rFonts w:eastAsia="仿宋_GB2312" w:hint="eastAsia"/>
          <w:color w:val="000000"/>
          <w:sz w:val="30"/>
          <w:szCs w:val="30"/>
        </w:rPr>
        <w:t>30%</w:t>
      </w:r>
      <w:r>
        <w:rPr>
          <w:rFonts w:eastAsia="仿宋_GB2312" w:hint="eastAsia"/>
          <w:color w:val="000000"/>
          <w:sz w:val="30"/>
          <w:szCs w:val="30"/>
        </w:rPr>
        <w:t>，实操成绩权重</w:t>
      </w:r>
      <w:r>
        <w:rPr>
          <w:rFonts w:eastAsia="仿宋_GB2312" w:hint="eastAsia"/>
          <w:color w:val="000000"/>
          <w:sz w:val="30"/>
          <w:szCs w:val="30"/>
        </w:rPr>
        <w:t>70%</w:t>
      </w:r>
      <w:r>
        <w:rPr>
          <w:rFonts w:eastAsia="仿宋_GB2312" w:hint="eastAsia"/>
          <w:color w:val="000000"/>
          <w:sz w:val="30"/>
          <w:szCs w:val="30"/>
        </w:rPr>
        <w:t>。按总成绩排序决定名次。总成绩相同，实操</w:t>
      </w:r>
      <w:r w:rsidR="005E0F90">
        <w:rPr>
          <w:rFonts w:eastAsia="仿宋_GB2312" w:hint="eastAsia"/>
          <w:color w:val="000000"/>
          <w:sz w:val="30"/>
          <w:szCs w:val="30"/>
        </w:rPr>
        <w:t>成绩</w:t>
      </w:r>
      <w:r>
        <w:rPr>
          <w:rFonts w:eastAsia="仿宋_GB2312" w:hint="eastAsia"/>
          <w:color w:val="000000"/>
          <w:sz w:val="30"/>
          <w:szCs w:val="30"/>
        </w:rPr>
        <w:t>优先</w:t>
      </w:r>
      <w:r w:rsidR="001521C2">
        <w:rPr>
          <w:rFonts w:eastAsia="仿宋_GB2312" w:hint="eastAsia"/>
          <w:color w:val="000000"/>
          <w:sz w:val="30"/>
          <w:szCs w:val="30"/>
        </w:rPr>
        <w:t>，</w:t>
      </w:r>
      <w:r w:rsidR="001521C2">
        <w:rPr>
          <w:rFonts w:eastAsia="仿宋_GB2312" w:hint="eastAsia"/>
          <w:sz w:val="30"/>
          <w:szCs w:val="30"/>
        </w:rPr>
        <w:t>实操成绩相同，用时少者优先。</w:t>
      </w:r>
      <w:r>
        <w:rPr>
          <w:rFonts w:eastAsia="仿宋_GB2312" w:hint="eastAsia"/>
          <w:color w:val="000000"/>
          <w:sz w:val="30"/>
          <w:szCs w:val="30"/>
        </w:rPr>
        <w:t>初赛中获得总成绩前</w:t>
      </w:r>
      <w:r>
        <w:rPr>
          <w:rFonts w:eastAsia="仿宋_GB2312" w:hint="eastAsia"/>
          <w:color w:val="000000"/>
          <w:sz w:val="30"/>
          <w:szCs w:val="30"/>
        </w:rPr>
        <w:t>30%</w:t>
      </w:r>
      <w:r>
        <w:rPr>
          <w:rFonts w:eastAsia="仿宋_GB2312" w:hint="eastAsia"/>
          <w:color w:val="000000"/>
          <w:sz w:val="30"/>
          <w:szCs w:val="30"/>
        </w:rPr>
        <w:t>的人员晋升为复赛（决赛）选手，参加市级技能竞赛。</w:t>
      </w:r>
    </w:p>
    <w:p w14:paraId="3166BADF" w14:textId="77777777" w:rsidR="009B5CEC" w:rsidRDefault="00000000">
      <w:pPr>
        <w:spacing w:line="560" w:lineRule="exact"/>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w:t>
      </w:r>
      <w:r>
        <w:rPr>
          <w:rFonts w:eastAsia="仿宋_GB2312" w:hint="eastAsia"/>
          <w:b/>
          <w:color w:val="000000"/>
          <w:sz w:val="30"/>
          <w:szCs w:val="30"/>
        </w:rPr>
        <w:t>理论知识竞赛</w:t>
      </w:r>
    </w:p>
    <w:p w14:paraId="4D1BD02F" w14:textId="77777777" w:rsidR="009B5CEC" w:rsidRDefault="00000000">
      <w:pPr>
        <w:spacing w:line="560" w:lineRule="exact"/>
        <w:ind w:firstLineChars="200" w:firstLine="600"/>
        <w:rPr>
          <w:rFonts w:eastAsia="仿宋_GB2312"/>
          <w:color w:val="000000"/>
          <w:sz w:val="30"/>
          <w:szCs w:val="30"/>
        </w:rPr>
      </w:pPr>
      <w:r>
        <w:rPr>
          <w:rFonts w:eastAsia="仿宋_GB2312" w:hint="eastAsia"/>
          <w:color w:val="000000"/>
          <w:sz w:val="30"/>
          <w:szCs w:val="30"/>
        </w:rPr>
        <w:t>采用笔试的竞赛方法，内容为插花相关基础知识，赛点：插花花艺的类别及特点；常见花材的识别、寓意和整理加工方法；基本造型的制作等。满分为</w:t>
      </w:r>
      <w:r>
        <w:rPr>
          <w:rFonts w:eastAsia="仿宋_GB2312" w:hint="eastAsia"/>
          <w:color w:val="000000"/>
          <w:sz w:val="30"/>
          <w:szCs w:val="30"/>
        </w:rPr>
        <w:t>100</w:t>
      </w:r>
      <w:r>
        <w:rPr>
          <w:rFonts w:eastAsia="仿宋_GB2312" w:hint="eastAsia"/>
          <w:color w:val="000000"/>
          <w:sz w:val="30"/>
          <w:szCs w:val="30"/>
        </w:rPr>
        <w:t>分。试题范围见相关复习资料。</w:t>
      </w:r>
    </w:p>
    <w:p w14:paraId="3F0E6661" w14:textId="77777777" w:rsidR="009B5CEC" w:rsidRDefault="00000000">
      <w:pPr>
        <w:spacing w:line="560" w:lineRule="exact"/>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w:t>
      </w:r>
      <w:r>
        <w:rPr>
          <w:rFonts w:eastAsia="仿宋_GB2312" w:hint="eastAsia"/>
          <w:b/>
          <w:color w:val="000000"/>
          <w:sz w:val="30"/>
          <w:szCs w:val="30"/>
        </w:rPr>
        <w:t>技能操作竞赛</w:t>
      </w:r>
    </w:p>
    <w:p w14:paraId="267A5FC5" w14:textId="77777777" w:rsidR="009B5CEC" w:rsidRDefault="00000000">
      <w:pPr>
        <w:spacing w:line="560" w:lineRule="exact"/>
        <w:ind w:firstLineChars="200" w:firstLine="600"/>
        <w:rPr>
          <w:rFonts w:eastAsia="仿宋_GB2312"/>
          <w:color w:val="000000"/>
          <w:sz w:val="30"/>
          <w:szCs w:val="30"/>
        </w:rPr>
      </w:pPr>
      <w:r>
        <w:rPr>
          <w:rFonts w:eastAsia="仿宋_GB2312" w:hint="eastAsia"/>
          <w:color w:val="000000"/>
          <w:sz w:val="30"/>
          <w:szCs w:val="30"/>
        </w:rPr>
        <w:t>采用现场实际操作的方式。要求选手在规定时间内，根据给定花材及容器，按照主题要求，现场制作完成礼仪插花和礼仪花束</w:t>
      </w:r>
      <w:r>
        <w:rPr>
          <w:rFonts w:eastAsia="仿宋_GB2312" w:hint="eastAsia"/>
          <w:color w:val="000000"/>
          <w:sz w:val="30"/>
          <w:szCs w:val="30"/>
        </w:rPr>
        <w:t>2</w:t>
      </w:r>
      <w:r>
        <w:rPr>
          <w:rFonts w:eastAsia="仿宋_GB2312" w:hint="eastAsia"/>
          <w:color w:val="000000"/>
          <w:sz w:val="30"/>
          <w:szCs w:val="30"/>
        </w:rPr>
        <w:t>件作品，限时</w:t>
      </w:r>
      <w:r>
        <w:rPr>
          <w:rFonts w:eastAsia="仿宋_GB2312"/>
          <w:color w:val="000000"/>
          <w:sz w:val="30"/>
          <w:szCs w:val="30"/>
        </w:rPr>
        <w:t>90</w:t>
      </w:r>
      <w:r>
        <w:rPr>
          <w:rFonts w:eastAsia="仿宋_GB2312" w:hint="eastAsia"/>
          <w:color w:val="000000"/>
          <w:sz w:val="30"/>
          <w:szCs w:val="30"/>
        </w:rPr>
        <w:t>分钟。赛点：花材的选择与整理、造型的把握与技巧运用、主题表现与创意。满分为</w:t>
      </w:r>
      <w:r>
        <w:rPr>
          <w:rFonts w:eastAsia="仿宋_GB2312" w:hint="eastAsia"/>
          <w:color w:val="000000"/>
          <w:sz w:val="30"/>
          <w:szCs w:val="30"/>
        </w:rPr>
        <w:t>100</w:t>
      </w:r>
      <w:r>
        <w:rPr>
          <w:rFonts w:eastAsia="仿宋_GB2312" w:hint="eastAsia"/>
          <w:color w:val="000000"/>
          <w:sz w:val="30"/>
          <w:szCs w:val="30"/>
        </w:rPr>
        <w:t>分。</w:t>
      </w:r>
    </w:p>
    <w:p w14:paraId="3FB8DBD0" w14:textId="77777777" w:rsidR="009B5CEC" w:rsidRDefault="00000000">
      <w:pPr>
        <w:rPr>
          <w:rFonts w:ascii="黑体" w:eastAsia="黑体" w:hAnsi="宋体"/>
          <w:sz w:val="28"/>
          <w:szCs w:val="28"/>
        </w:rPr>
      </w:pPr>
      <w:r>
        <w:rPr>
          <w:rFonts w:ascii="黑体" w:eastAsia="黑体" w:hAnsi="宋体" w:hint="eastAsia"/>
          <w:sz w:val="28"/>
          <w:szCs w:val="28"/>
        </w:rPr>
        <w:t>三、竞赛要求</w:t>
      </w:r>
    </w:p>
    <w:p w14:paraId="31D58CD6" w14:textId="77777777" w:rsidR="009B5CEC" w:rsidRDefault="00000000">
      <w:pPr>
        <w:ind w:left="300" w:hangingChars="100" w:hanging="300"/>
        <w:rPr>
          <w:rFonts w:eastAsia="仿宋_GB2312"/>
          <w:color w:val="000000"/>
          <w:sz w:val="30"/>
          <w:szCs w:val="30"/>
        </w:rPr>
      </w:pPr>
      <w:r>
        <w:rPr>
          <w:rFonts w:eastAsia="仿宋_GB2312" w:hint="eastAsia"/>
          <w:color w:val="000000"/>
          <w:sz w:val="30"/>
          <w:szCs w:val="30"/>
        </w:rPr>
        <w:lastRenderedPageBreak/>
        <w:t>1</w:t>
      </w:r>
      <w:r>
        <w:rPr>
          <w:rFonts w:eastAsia="仿宋_GB2312" w:hint="eastAsia"/>
          <w:color w:val="000000"/>
          <w:sz w:val="30"/>
          <w:szCs w:val="30"/>
        </w:rPr>
        <w:t>．</w:t>
      </w:r>
      <w:r>
        <w:rPr>
          <w:rFonts w:eastAsia="仿宋_GB2312" w:hint="eastAsia"/>
          <w:sz w:val="30"/>
          <w:szCs w:val="30"/>
        </w:rPr>
        <w:t>本次竞赛活动严格按照北京市疫情防控要求开展。</w:t>
      </w:r>
    </w:p>
    <w:p w14:paraId="6888B226" w14:textId="1F6FA347" w:rsidR="009B5CEC" w:rsidRDefault="00000000">
      <w:pPr>
        <w:ind w:left="300" w:hangingChars="100" w:hanging="300"/>
        <w:rPr>
          <w:rFonts w:eastAsia="仿宋_GB2312"/>
          <w:color w:val="000000"/>
          <w:sz w:val="30"/>
          <w:szCs w:val="30"/>
        </w:rPr>
      </w:pPr>
      <w:r>
        <w:rPr>
          <w:rFonts w:eastAsia="仿宋_GB2312"/>
          <w:color w:val="000000"/>
          <w:sz w:val="30"/>
          <w:szCs w:val="30"/>
        </w:rPr>
        <w:t>2</w:t>
      </w:r>
      <w:r>
        <w:rPr>
          <w:rFonts w:eastAsia="仿宋_GB2312" w:hint="eastAsia"/>
          <w:color w:val="000000"/>
          <w:sz w:val="30"/>
          <w:szCs w:val="30"/>
        </w:rPr>
        <w:t>．参赛选手本人需携带</w:t>
      </w:r>
      <w:r>
        <w:rPr>
          <w:rFonts w:eastAsia="仿宋_GB2312"/>
          <w:sz w:val="30"/>
          <w:szCs w:val="30"/>
        </w:rPr>
        <w:t>48</w:t>
      </w:r>
      <w:r>
        <w:rPr>
          <w:rFonts w:eastAsia="仿宋_GB2312" w:hint="eastAsia"/>
          <w:sz w:val="30"/>
          <w:szCs w:val="30"/>
        </w:rPr>
        <w:t>小时核酸检测阴性证明、</w:t>
      </w:r>
      <w:r>
        <w:rPr>
          <w:rFonts w:eastAsia="仿宋_GB2312" w:hint="eastAsia"/>
          <w:color w:val="000000"/>
          <w:sz w:val="30"/>
          <w:szCs w:val="30"/>
        </w:rPr>
        <w:t>准考证（参赛证）、</w:t>
      </w:r>
      <w:r w:rsidR="0094609A">
        <w:rPr>
          <w:rFonts w:eastAsia="仿宋_GB2312" w:hint="eastAsia"/>
          <w:color w:val="000000"/>
          <w:sz w:val="30"/>
          <w:szCs w:val="30"/>
        </w:rPr>
        <w:t>残疾人证</w:t>
      </w:r>
      <w:r>
        <w:rPr>
          <w:rFonts w:eastAsia="仿宋_GB2312" w:hint="eastAsia"/>
          <w:color w:val="000000"/>
          <w:sz w:val="30"/>
          <w:szCs w:val="30"/>
        </w:rPr>
        <w:t>准时到达指定地点参加竞赛。采用抽签方式，进入竞赛现场。（迟到</w:t>
      </w:r>
      <w:r>
        <w:rPr>
          <w:rFonts w:eastAsia="仿宋_GB2312" w:hint="eastAsia"/>
          <w:color w:val="000000"/>
          <w:sz w:val="30"/>
          <w:szCs w:val="30"/>
        </w:rPr>
        <w:t>1</w:t>
      </w:r>
      <w:r>
        <w:rPr>
          <w:rFonts w:eastAsia="仿宋_GB2312"/>
          <w:color w:val="000000"/>
          <w:sz w:val="30"/>
          <w:szCs w:val="30"/>
        </w:rPr>
        <w:t>5</w:t>
      </w:r>
      <w:r>
        <w:rPr>
          <w:rFonts w:eastAsia="仿宋_GB2312" w:hint="eastAsia"/>
          <w:color w:val="000000"/>
          <w:sz w:val="30"/>
          <w:szCs w:val="30"/>
        </w:rPr>
        <w:t>分钟后，视为自动放弃；开考半小时后才能离开考场）。</w:t>
      </w:r>
    </w:p>
    <w:p w14:paraId="5F2755C9" w14:textId="77777777" w:rsidR="009B5CEC" w:rsidRDefault="00000000">
      <w:pPr>
        <w:ind w:left="300" w:hangingChars="100" w:hanging="300"/>
        <w:rPr>
          <w:rFonts w:eastAsia="仿宋_GB2312"/>
          <w:color w:val="000000"/>
          <w:sz w:val="30"/>
          <w:szCs w:val="30"/>
        </w:rPr>
      </w:pPr>
      <w:r>
        <w:rPr>
          <w:rFonts w:eastAsia="仿宋_GB2312"/>
          <w:color w:val="000000"/>
          <w:sz w:val="30"/>
          <w:szCs w:val="30"/>
        </w:rPr>
        <w:t>3</w:t>
      </w:r>
      <w:r>
        <w:rPr>
          <w:rFonts w:eastAsia="仿宋_GB2312" w:hint="eastAsia"/>
          <w:color w:val="000000"/>
          <w:sz w:val="30"/>
          <w:szCs w:val="30"/>
        </w:rPr>
        <w:t>．进入参赛现场后，须对号入座，不得私自调换座位，私自调换者将被免去参赛资格。</w:t>
      </w:r>
    </w:p>
    <w:p w14:paraId="0312F523" w14:textId="77777777" w:rsidR="009B5CEC" w:rsidRDefault="00000000">
      <w:pPr>
        <w:ind w:left="300" w:hangingChars="100" w:hanging="300"/>
        <w:rPr>
          <w:rFonts w:eastAsia="仿宋_GB2312"/>
          <w:color w:val="000000"/>
          <w:sz w:val="30"/>
          <w:szCs w:val="30"/>
        </w:rPr>
      </w:pPr>
      <w:r>
        <w:rPr>
          <w:rFonts w:eastAsia="仿宋_GB2312"/>
          <w:color w:val="000000"/>
          <w:sz w:val="30"/>
          <w:szCs w:val="30"/>
        </w:rPr>
        <w:t>4</w:t>
      </w:r>
      <w:r>
        <w:rPr>
          <w:rFonts w:eastAsia="仿宋_GB2312" w:hint="eastAsia"/>
          <w:color w:val="000000"/>
          <w:sz w:val="30"/>
          <w:szCs w:val="30"/>
        </w:rPr>
        <w:t>．参赛人员作品，要求现场独立完成，不得临时互换和搭配，违规者亦将被免去参赛资格。</w:t>
      </w:r>
    </w:p>
    <w:p w14:paraId="0952EF86" w14:textId="77777777" w:rsidR="009B5CEC" w:rsidRDefault="00000000">
      <w:pPr>
        <w:rPr>
          <w:rFonts w:ascii="黑体" w:eastAsia="黑体" w:hAnsi="宋体"/>
          <w:sz w:val="30"/>
          <w:szCs w:val="30"/>
        </w:rPr>
      </w:pPr>
      <w:r>
        <w:rPr>
          <w:rFonts w:ascii="黑体" w:eastAsia="黑体" w:hAnsi="宋体" w:hint="eastAsia"/>
          <w:sz w:val="30"/>
          <w:szCs w:val="30"/>
        </w:rPr>
        <w:t>四、评分标准</w:t>
      </w:r>
    </w:p>
    <w:p w14:paraId="4DBB96D0" w14:textId="77777777" w:rsidR="009B5CEC" w:rsidRDefault="00000000">
      <w:pPr>
        <w:rPr>
          <w:rFonts w:ascii="黑体" w:eastAsia="黑体" w:hAnsi="宋体"/>
          <w:sz w:val="30"/>
          <w:szCs w:val="30"/>
        </w:rPr>
      </w:pPr>
      <w:r>
        <w:rPr>
          <w:rFonts w:eastAsia="仿宋_GB2312" w:hint="eastAsia"/>
          <w:color w:val="000000"/>
          <w:sz w:val="30"/>
          <w:szCs w:val="30"/>
        </w:rPr>
        <w:t>1</w:t>
      </w:r>
      <w:r>
        <w:rPr>
          <w:rFonts w:eastAsia="仿宋_GB2312" w:hint="eastAsia"/>
          <w:color w:val="000000"/>
          <w:sz w:val="30"/>
          <w:szCs w:val="30"/>
        </w:rPr>
        <w:t>．理论试卷由评审委员会于理论考试结束后当日，严格按照标准答案和评分标准进行阅卷和成绩评定。</w:t>
      </w:r>
    </w:p>
    <w:p w14:paraId="30957DB3" w14:textId="77777777" w:rsidR="009B5CEC" w:rsidRDefault="00000000">
      <w:pPr>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．技能操作竞赛由评审委员会于竞赛当日根据选手现场比赛作品，严格按照评分标准进行成绩评定，取各裁判员打分的平均分数作为选手技能操作成绩。</w:t>
      </w:r>
    </w:p>
    <w:p w14:paraId="720405E7" w14:textId="77777777" w:rsidR="009B5CEC" w:rsidRDefault="00000000">
      <w:pPr>
        <w:ind w:firstLineChars="200" w:firstLine="600"/>
        <w:rPr>
          <w:rFonts w:ascii="黑体" w:eastAsia="黑体" w:hAnsi="宋体"/>
          <w:sz w:val="30"/>
          <w:szCs w:val="30"/>
        </w:rPr>
      </w:pPr>
      <w:r>
        <w:rPr>
          <w:rFonts w:eastAsia="仿宋_GB2312" w:hint="eastAsia"/>
          <w:color w:val="000000"/>
          <w:sz w:val="30"/>
          <w:szCs w:val="30"/>
        </w:rPr>
        <w:t>技能操作评分标准如下：</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000"/>
        <w:gridCol w:w="4095"/>
        <w:gridCol w:w="1392"/>
      </w:tblGrid>
      <w:tr w:rsidR="009B5CEC" w14:paraId="6C4DE0BB" w14:textId="77777777">
        <w:trPr>
          <w:trHeight w:val="780"/>
          <w:jc w:val="center"/>
        </w:trPr>
        <w:tc>
          <w:tcPr>
            <w:tcW w:w="878" w:type="dxa"/>
            <w:vAlign w:val="center"/>
          </w:tcPr>
          <w:p w14:paraId="1F6372DE" w14:textId="77777777" w:rsidR="009B5CEC" w:rsidRDefault="00000000">
            <w:pPr>
              <w:snapToGrid w:val="0"/>
              <w:spacing w:line="360" w:lineRule="exact"/>
              <w:jc w:val="center"/>
              <w:rPr>
                <w:rFonts w:ascii="仿宋_GB2312" w:eastAsia="仿宋_GB2312" w:hAnsi="仿宋_GB2312" w:cs="仿宋_GB2312"/>
                <w:b/>
                <w:snapToGrid w:val="0"/>
                <w:kern w:val="11"/>
                <w:sz w:val="24"/>
              </w:rPr>
            </w:pPr>
            <w:r>
              <w:rPr>
                <w:rFonts w:ascii="仿宋_GB2312" w:eastAsia="仿宋_GB2312" w:hAnsi="仿宋_GB2312" w:cs="仿宋_GB2312" w:hint="eastAsia"/>
                <w:b/>
                <w:snapToGrid w:val="0"/>
                <w:kern w:val="11"/>
                <w:sz w:val="24"/>
              </w:rPr>
              <w:t>序号</w:t>
            </w:r>
          </w:p>
        </w:tc>
        <w:tc>
          <w:tcPr>
            <w:tcW w:w="2000" w:type="dxa"/>
            <w:vAlign w:val="center"/>
          </w:tcPr>
          <w:p w14:paraId="453A838B" w14:textId="77777777" w:rsidR="009B5CEC" w:rsidRDefault="00000000">
            <w:pPr>
              <w:snapToGrid w:val="0"/>
              <w:spacing w:line="360" w:lineRule="exact"/>
              <w:jc w:val="center"/>
              <w:rPr>
                <w:rFonts w:ascii="仿宋_GB2312" w:eastAsia="仿宋_GB2312" w:hAnsi="仿宋_GB2312" w:cs="仿宋_GB2312"/>
                <w:b/>
                <w:snapToGrid w:val="0"/>
                <w:kern w:val="11"/>
                <w:sz w:val="24"/>
              </w:rPr>
            </w:pPr>
            <w:r>
              <w:rPr>
                <w:rFonts w:ascii="仿宋_GB2312" w:eastAsia="仿宋_GB2312" w:hAnsi="仿宋_GB2312" w:cs="仿宋_GB2312" w:hint="eastAsia"/>
                <w:b/>
                <w:snapToGrid w:val="0"/>
                <w:kern w:val="11"/>
                <w:sz w:val="24"/>
              </w:rPr>
              <w:t>评价要素</w:t>
            </w:r>
          </w:p>
        </w:tc>
        <w:tc>
          <w:tcPr>
            <w:tcW w:w="4095" w:type="dxa"/>
            <w:vAlign w:val="center"/>
          </w:tcPr>
          <w:p w14:paraId="70D53D9D" w14:textId="77777777" w:rsidR="009B5CEC" w:rsidRDefault="00000000">
            <w:pPr>
              <w:snapToGrid w:val="0"/>
              <w:spacing w:line="360" w:lineRule="exact"/>
              <w:jc w:val="center"/>
              <w:rPr>
                <w:rFonts w:ascii="仿宋_GB2312" w:eastAsia="仿宋_GB2312" w:hAnsi="仿宋_GB2312" w:cs="仿宋_GB2312"/>
                <w:b/>
                <w:snapToGrid w:val="0"/>
                <w:kern w:val="11"/>
                <w:sz w:val="24"/>
              </w:rPr>
            </w:pPr>
            <w:r>
              <w:rPr>
                <w:rFonts w:ascii="仿宋_GB2312" w:eastAsia="仿宋_GB2312" w:hAnsi="仿宋_GB2312" w:cs="仿宋_GB2312" w:hint="eastAsia"/>
                <w:b/>
                <w:snapToGrid w:val="0"/>
                <w:kern w:val="11"/>
                <w:sz w:val="24"/>
              </w:rPr>
              <w:t>考核内容和标准</w:t>
            </w:r>
          </w:p>
        </w:tc>
        <w:tc>
          <w:tcPr>
            <w:tcW w:w="1392" w:type="dxa"/>
            <w:vAlign w:val="center"/>
          </w:tcPr>
          <w:p w14:paraId="3FA9B33C" w14:textId="77777777" w:rsidR="009B5CEC" w:rsidRDefault="00000000">
            <w:pPr>
              <w:snapToGrid w:val="0"/>
              <w:spacing w:line="360" w:lineRule="exact"/>
              <w:jc w:val="center"/>
              <w:rPr>
                <w:rFonts w:ascii="仿宋_GB2312" w:eastAsia="仿宋_GB2312" w:hAnsi="仿宋_GB2312" w:cs="仿宋_GB2312"/>
                <w:b/>
                <w:snapToGrid w:val="0"/>
                <w:kern w:val="11"/>
                <w:sz w:val="24"/>
              </w:rPr>
            </w:pPr>
            <w:r>
              <w:rPr>
                <w:rFonts w:ascii="仿宋_GB2312" w:eastAsia="仿宋_GB2312" w:hAnsi="仿宋_GB2312" w:cs="仿宋_GB2312" w:hint="eastAsia"/>
                <w:b/>
                <w:snapToGrid w:val="0"/>
                <w:kern w:val="11"/>
                <w:sz w:val="24"/>
              </w:rPr>
              <w:t>分值</w:t>
            </w:r>
          </w:p>
        </w:tc>
      </w:tr>
      <w:tr w:rsidR="009B5CEC" w14:paraId="54F8E5A9" w14:textId="77777777">
        <w:trPr>
          <w:trHeight w:val="762"/>
          <w:jc w:val="center"/>
        </w:trPr>
        <w:tc>
          <w:tcPr>
            <w:tcW w:w="878" w:type="dxa"/>
            <w:vMerge w:val="restart"/>
            <w:vAlign w:val="center"/>
          </w:tcPr>
          <w:p w14:paraId="02B36145"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w:t>
            </w:r>
          </w:p>
        </w:tc>
        <w:tc>
          <w:tcPr>
            <w:tcW w:w="2000" w:type="dxa"/>
            <w:vMerge w:val="restart"/>
            <w:vAlign w:val="center"/>
          </w:tcPr>
          <w:p w14:paraId="36A746F2"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技巧做工</w:t>
            </w:r>
          </w:p>
          <w:p w14:paraId="4A597234"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（2</w:t>
            </w:r>
            <w:r>
              <w:rPr>
                <w:rFonts w:ascii="仿宋_GB2312" w:eastAsia="仿宋_GB2312" w:hAnsi="仿宋_GB2312" w:cs="仿宋_GB2312"/>
                <w:snapToGrid w:val="0"/>
                <w:kern w:val="11"/>
                <w:sz w:val="24"/>
              </w:rPr>
              <w:t>5</w:t>
            </w:r>
            <w:r>
              <w:rPr>
                <w:rFonts w:ascii="仿宋_GB2312" w:eastAsia="仿宋_GB2312" w:hAnsi="仿宋_GB2312" w:cs="仿宋_GB2312" w:hint="eastAsia"/>
                <w:snapToGrid w:val="0"/>
                <w:kern w:val="11"/>
                <w:sz w:val="24"/>
              </w:rPr>
              <w:t>分）</w:t>
            </w:r>
          </w:p>
        </w:tc>
        <w:tc>
          <w:tcPr>
            <w:tcW w:w="4095" w:type="dxa"/>
          </w:tcPr>
          <w:p w14:paraId="647F1FE3" w14:textId="77777777" w:rsidR="009B5CEC" w:rsidRDefault="00000000">
            <w:pPr>
              <w:snapToGrid w:val="0"/>
              <w:jc w:val="left"/>
              <w:rPr>
                <w:rFonts w:ascii="仿宋_GB2312" w:eastAsia="仿宋_GB2312" w:hAnsi="仿宋_GB2312" w:cs="仿宋_GB2312"/>
                <w:snapToGrid w:val="0"/>
                <w:kern w:val="11"/>
                <w:sz w:val="24"/>
              </w:rPr>
            </w:pPr>
            <w:r>
              <w:rPr>
                <w:rFonts w:ascii="仿宋_GB2312" w:eastAsia="仿宋_GB2312" w:hAnsi="仿宋_GB2312" w:cs="仿宋_GB2312" w:hint="eastAsia"/>
                <w:sz w:val="24"/>
              </w:rPr>
              <w:t>技法熟练，做工细致，花材处理及运用合理、巧妙</w:t>
            </w:r>
          </w:p>
        </w:tc>
        <w:tc>
          <w:tcPr>
            <w:tcW w:w="1392" w:type="dxa"/>
            <w:vAlign w:val="center"/>
          </w:tcPr>
          <w:p w14:paraId="7BF72FFD"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snapToGrid w:val="0"/>
                <w:kern w:val="11"/>
                <w:sz w:val="24"/>
              </w:rPr>
              <w:t>15</w:t>
            </w:r>
          </w:p>
        </w:tc>
      </w:tr>
      <w:tr w:rsidR="009B5CEC" w14:paraId="2D3F2987" w14:textId="77777777">
        <w:trPr>
          <w:trHeight w:val="633"/>
          <w:jc w:val="center"/>
        </w:trPr>
        <w:tc>
          <w:tcPr>
            <w:tcW w:w="878" w:type="dxa"/>
            <w:vMerge/>
            <w:vAlign w:val="center"/>
          </w:tcPr>
          <w:p w14:paraId="6B8F5BD5"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2000" w:type="dxa"/>
            <w:vMerge/>
            <w:vAlign w:val="center"/>
          </w:tcPr>
          <w:p w14:paraId="75C2F99B"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4095" w:type="dxa"/>
          </w:tcPr>
          <w:p w14:paraId="53EE99A2" w14:textId="77777777" w:rsidR="009B5CEC" w:rsidRDefault="00000000">
            <w:pPr>
              <w:snapToGrid w:val="0"/>
              <w:jc w:val="left"/>
              <w:rPr>
                <w:rFonts w:ascii="仿宋_GB2312" w:eastAsia="仿宋_GB2312" w:hAnsi="仿宋_GB2312" w:cs="仿宋_GB2312"/>
                <w:snapToGrid w:val="0"/>
                <w:kern w:val="11"/>
                <w:sz w:val="24"/>
              </w:rPr>
            </w:pPr>
            <w:r>
              <w:rPr>
                <w:rFonts w:ascii="仿宋_GB2312" w:eastAsia="仿宋_GB2312" w:hAnsi="仿宋_GB2312" w:cs="仿宋_GB2312" w:hint="eastAsia"/>
                <w:sz w:val="24"/>
              </w:rPr>
              <w:t>作品稳固性好，合理遮盖，作品整洁</w:t>
            </w:r>
          </w:p>
        </w:tc>
        <w:tc>
          <w:tcPr>
            <w:tcW w:w="1392" w:type="dxa"/>
            <w:vAlign w:val="center"/>
          </w:tcPr>
          <w:p w14:paraId="0388AC1B"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10</w:t>
            </w:r>
          </w:p>
        </w:tc>
      </w:tr>
      <w:tr w:rsidR="009B5CEC" w14:paraId="7DE23DC4" w14:textId="77777777">
        <w:trPr>
          <w:trHeight w:val="496"/>
          <w:jc w:val="center"/>
        </w:trPr>
        <w:tc>
          <w:tcPr>
            <w:tcW w:w="878" w:type="dxa"/>
            <w:vMerge w:val="restart"/>
            <w:vAlign w:val="center"/>
          </w:tcPr>
          <w:p w14:paraId="6B28EFD7"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2</w:t>
            </w:r>
          </w:p>
        </w:tc>
        <w:tc>
          <w:tcPr>
            <w:tcW w:w="2000" w:type="dxa"/>
            <w:vMerge w:val="restart"/>
            <w:vAlign w:val="center"/>
          </w:tcPr>
          <w:p w14:paraId="1C85F61B"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色彩配置</w:t>
            </w:r>
          </w:p>
          <w:p w14:paraId="5A3F2BF8"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（25分）</w:t>
            </w:r>
          </w:p>
        </w:tc>
        <w:tc>
          <w:tcPr>
            <w:tcW w:w="4095" w:type="dxa"/>
          </w:tcPr>
          <w:p w14:paraId="4486B1D8" w14:textId="77777777" w:rsidR="009B5CEC" w:rsidRDefault="00000000">
            <w:pPr>
              <w:snapToGrid w:val="0"/>
              <w:jc w:val="left"/>
              <w:rPr>
                <w:rFonts w:ascii="仿宋_GB2312" w:eastAsia="仿宋_GB2312" w:hAnsi="仿宋_GB2312" w:cs="仿宋_GB2312"/>
                <w:snapToGrid w:val="0"/>
                <w:kern w:val="11"/>
                <w:sz w:val="24"/>
              </w:rPr>
            </w:pPr>
            <w:r>
              <w:rPr>
                <w:rFonts w:ascii="仿宋_GB2312" w:eastAsia="仿宋_GB2312" w:hAnsi="仿宋_GB2312" w:cs="仿宋_GB2312" w:hint="eastAsia"/>
                <w:sz w:val="24"/>
              </w:rPr>
              <w:t>作品色彩平衡，整体协调</w:t>
            </w:r>
          </w:p>
        </w:tc>
        <w:tc>
          <w:tcPr>
            <w:tcW w:w="1392" w:type="dxa"/>
            <w:vAlign w:val="center"/>
          </w:tcPr>
          <w:p w14:paraId="7E6182C2"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15</w:t>
            </w:r>
          </w:p>
        </w:tc>
      </w:tr>
      <w:tr w:rsidR="009B5CEC" w14:paraId="0E8571CE" w14:textId="77777777">
        <w:trPr>
          <w:trHeight w:val="644"/>
          <w:jc w:val="center"/>
        </w:trPr>
        <w:tc>
          <w:tcPr>
            <w:tcW w:w="878" w:type="dxa"/>
            <w:vMerge/>
            <w:vAlign w:val="center"/>
          </w:tcPr>
          <w:p w14:paraId="6B687A9E"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2000" w:type="dxa"/>
            <w:vMerge/>
            <w:vAlign w:val="center"/>
          </w:tcPr>
          <w:p w14:paraId="2234E753"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4095" w:type="dxa"/>
          </w:tcPr>
          <w:p w14:paraId="629B3298" w14:textId="77777777" w:rsidR="009B5CEC" w:rsidRDefault="00000000">
            <w:pPr>
              <w:snapToGrid w:val="0"/>
              <w:spacing w:line="360" w:lineRule="exact"/>
              <w:rPr>
                <w:rFonts w:ascii="仿宋_GB2312" w:eastAsia="仿宋_GB2312" w:hAnsi="仿宋_GB2312" w:cs="仿宋_GB2312"/>
                <w:snapToGrid w:val="0"/>
                <w:kern w:val="11"/>
                <w:sz w:val="24"/>
              </w:rPr>
            </w:pPr>
            <w:r>
              <w:rPr>
                <w:rFonts w:ascii="仿宋_GB2312" w:eastAsia="仿宋_GB2312" w:hAnsi="仿宋_GB2312" w:cs="仿宋_GB2312" w:hint="eastAsia"/>
                <w:sz w:val="24"/>
              </w:rPr>
              <w:t>视觉感染力强，烘托主题</w:t>
            </w:r>
          </w:p>
        </w:tc>
        <w:tc>
          <w:tcPr>
            <w:tcW w:w="1392" w:type="dxa"/>
            <w:vAlign w:val="center"/>
          </w:tcPr>
          <w:p w14:paraId="76F0CA15"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10</w:t>
            </w:r>
          </w:p>
        </w:tc>
      </w:tr>
      <w:tr w:rsidR="009B5CEC" w14:paraId="5174F19E" w14:textId="77777777">
        <w:trPr>
          <w:trHeight w:val="834"/>
          <w:jc w:val="center"/>
        </w:trPr>
        <w:tc>
          <w:tcPr>
            <w:tcW w:w="878" w:type="dxa"/>
            <w:vMerge w:val="restart"/>
            <w:vAlign w:val="center"/>
          </w:tcPr>
          <w:p w14:paraId="306BAE26"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lastRenderedPageBreak/>
              <w:t>3</w:t>
            </w:r>
          </w:p>
        </w:tc>
        <w:tc>
          <w:tcPr>
            <w:tcW w:w="2000" w:type="dxa"/>
            <w:vMerge w:val="restart"/>
            <w:vAlign w:val="center"/>
          </w:tcPr>
          <w:p w14:paraId="2E04B821"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造型设计</w:t>
            </w:r>
          </w:p>
          <w:p w14:paraId="0618990B"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（30分）</w:t>
            </w:r>
          </w:p>
        </w:tc>
        <w:tc>
          <w:tcPr>
            <w:tcW w:w="4095" w:type="dxa"/>
          </w:tcPr>
          <w:p w14:paraId="78B3E04F" w14:textId="77777777" w:rsidR="009B5CEC" w:rsidRDefault="00000000">
            <w:pPr>
              <w:snapToGrid w:val="0"/>
              <w:spacing w:line="360" w:lineRule="exact"/>
              <w:rPr>
                <w:rFonts w:ascii="仿宋_GB2312" w:eastAsia="仿宋_GB2312" w:hAnsi="仿宋_GB2312" w:cs="仿宋_GB2312"/>
                <w:snapToGrid w:val="0"/>
                <w:kern w:val="11"/>
                <w:sz w:val="24"/>
              </w:rPr>
            </w:pPr>
            <w:r>
              <w:rPr>
                <w:rFonts w:ascii="仿宋_GB2312" w:eastAsia="仿宋_GB2312" w:hAnsi="仿宋_GB2312" w:cs="仿宋_GB2312" w:hint="eastAsia"/>
                <w:sz w:val="24"/>
              </w:rPr>
              <w:t>作品造型完整，体量适宜，比例协调，设计独特</w:t>
            </w:r>
          </w:p>
        </w:tc>
        <w:tc>
          <w:tcPr>
            <w:tcW w:w="1392" w:type="dxa"/>
            <w:vAlign w:val="center"/>
          </w:tcPr>
          <w:p w14:paraId="27B12213"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15</w:t>
            </w:r>
          </w:p>
        </w:tc>
      </w:tr>
      <w:tr w:rsidR="009B5CEC" w14:paraId="42A36C83" w14:textId="77777777">
        <w:trPr>
          <w:trHeight w:val="846"/>
          <w:jc w:val="center"/>
        </w:trPr>
        <w:tc>
          <w:tcPr>
            <w:tcW w:w="878" w:type="dxa"/>
            <w:vMerge/>
            <w:vAlign w:val="center"/>
          </w:tcPr>
          <w:p w14:paraId="0E661584"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2000" w:type="dxa"/>
            <w:vMerge/>
            <w:vAlign w:val="center"/>
          </w:tcPr>
          <w:p w14:paraId="7D5417A1" w14:textId="77777777" w:rsidR="009B5CEC" w:rsidRDefault="009B5CEC">
            <w:pPr>
              <w:snapToGrid w:val="0"/>
              <w:spacing w:line="360" w:lineRule="exact"/>
              <w:ind w:firstLineChars="200" w:firstLine="480"/>
              <w:jc w:val="center"/>
              <w:rPr>
                <w:rFonts w:ascii="仿宋_GB2312" w:eastAsia="仿宋_GB2312" w:hAnsi="仿宋_GB2312" w:cs="仿宋_GB2312"/>
                <w:snapToGrid w:val="0"/>
                <w:kern w:val="11"/>
                <w:sz w:val="24"/>
              </w:rPr>
            </w:pPr>
          </w:p>
        </w:tc>
        <w:tc>
          <w:tcPr>
            <w:tcW w:w="4095" w:type="dxa"/>
          </w:tcPr>
          <w:p w14:paraId="1E1B81E9" w14:textId="77777777" w:rsidR="009B5CEC" w:rsidRDefault="00000000">
            <w:pPr>
              <w:snapToGrid w:val="0"/>
              <w:spacing w:line="360" w:lineRule="exact"/>
              <w:rPr>
                <w:rFonts w:ascii="仿宋_GB2312" w:eastAsia="仿宋_GB2312" w:hAnsi="仿宋_GB2312" w:cs="仿宋_GB2312"/>
                <w:snapToGrid w:val="0"/>
                <w:kern w:val="11"/>
                <w:sz w:val="24"/>
              </w:rPr>
            </w:pPr>
            <w:r>
              <w:rPr>
                <w:rFonts w:ascii="仿宋_GB2312" w:eastAsia="仿宋_GB2312" w:hAnsi="仿宋_GB2312" w:cs="仿宋_GB2312" w:hint="eastAsia"/>
                <w:sz w:val="24"/>
              </w:rPr>
              <w:t>作品线条流畅，焦点设置合理，</w:t>
            </w:r>
            <w:r>
              <w:rPr>
                <w:rFonts w:ascii="仿宋_GB2312" w:eastAsia="仿宋_GB2312" w:hAnsi="仿宋_GB2312" w:cs="仿宋_GB2312" w:hint="eastAsia"/>
                <w:snapToGrid w:val="0"/>
                <w:kern w:val="11"/>
                <w:sz w:val="24"/>
              </w:rPr>
              <w:t>作品富有韵律与动感</w:t>
            </w:r>
          </w:p>
        </w:tc>
        <w:tc>
          <w:tcPr>
            <w:tcW w:w="1392" w:type="dxa"/>
            <w:vAlign w:val="center"/>
          </w:tcPr>
          <w:p w14:paraId="20539C64"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15</w:t>
            </w:r>
          </w:p>
        </w:tc>
      </w:tr>
      <w:tr w:rsidR="009B5CEC" w14:paraId="797D818B" w14:textId="77777777">
        <w:trPr>
          <w:trHeight w:val="1094"/>
          <w:jc w:val="center"/>
        </w:trPr>
        <w:tc>
          <w:tcPr>
            <w:tcW w:w="878" w:type="dxa"/>
            <w:vAlign w:val="center"/>
          </w:tcPr>
          <w:p w14:paraId="1286C2AC"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4</w:t>
            </w:r>
          </w:p>
        </w:tc>
        <w:tc>
          <w:tcPr>
            <w:tcW w:w="2000" w:type="dxa"/>
            <w:vAlign w:val="center"/>
          </w:tcPr>
          <w:p w14:paraId="56E6F53C"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创意主题</w:t>
            </w:r>
          </w:p>
          <w:p w14:paraId="755AD3D6"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（2</w:t>
            </w:r>
            <w:r>
              <w:rPr>
                <w:rFonts w:ascii="仿宋_GB2312" w:eastAsia="仿宋_GB2312" w:hAnsi="仿宋_GB2312" w:cs="仿宋_GB2312"/>
                <w:snapToGrid w:val="0"/>
                <w:kern w:val="11"/>
                <w:sz w:val="24"/>
              </w:rPr>
              <w:t>0</w:t>
            </w:r>
            <w:r>
              <w:rPr>
                <w:rFonts w:ascii="仿宋_GB2312" w:eastAsia="仿宋_GB2312" w:hAnsi="仿宋_GB2312" w:cs="仿宋_GB2312" w:hint="eastAsia"/>
                <w:snapToGrid w:val="0"/>
                <w:kern w:val="11"/>
                <w:sz w:val="24"/>
              </w:rPr>
              <w:t>分）</w:t>
            </w:r>
          </w:p>
        </w:tc>
        <w:tc>
          <w:tcPr>
            <w:tcW w:w="4095" w:type="dxa"/>
          </w:tcPr>
          <w:p w14:paraId="387DBF2A" w14:textId="77777777" w:rsidR="009B5CEC" w:rsidRDefault="00000000">
            <w:pPr>
              <w:snapToGrid w:val="0"/>
              <w:spacing w:line="360" w:lineRule="exact"/>
              <w:rPr>
                <w:rFonts w:ascii="仿宋_GB2312" w:eastAsia="仿宋_GB2312" w:hAnsi="仿宋_GB2312" w:cs="仿宋_GB2312"/>
                <w:snapToGrid w:val="0"/>
                <w:kern w:val="11"/>
                <w:sz w:val="24"/>
              </w:rPr>
            </w:pPr>
            <w:r>
              <w:rPr>
                <w:rFonts w:ascii="仿宋_GB2312" w:eastAsia="仿宋_GB2312" w:hAnsi="仿宋_GB2312" w:cs="仿宋_GB2312" w:hint="eastAsia"/>
                <w:sz w:val="24"/>
              </w:rPr>
              <w:t>作品艺术风格明确，有感染力，创意新颖，主题突出，名实相符</w:t>
            </w:r>
          </w:p>
        </w:tc>
        <w:tc>
          <w:tcPr>
            <w:tcW w:w="1392" w:type="dxa"/>
            <w:vAlign w:val="center"/>
          </w:tcPr>
          <w:p w14:paraId="4B1B8300"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snapToGrid w:val="0"/>
                <w:kern w:val="11"/>
                <w:sz w:val="24"/>
              </w:rPr>
              <w:t>20</w:t>
            </w:r>
          </w:p>
        </w:tc>
      </w:tr>
      <w:tr w:rsidR="009B5CEC" w14:paraId="2A7A24E3" w14:textId="77777777">
        <w:trPr>
          <w:trHeight w:val="557"/>
          <w:jc w:val="center"/>
        </w:trPr>
        <w:tc>
          <w:tcPr>
            <w:tcW w:w="6973" w:type="dxa"/>
            <w:gridSpan w:val="3"/>
          </w:tcPr>
          <w:p w14:paraId="5EDFBCF0"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合计</w:t>
            </w:r>
          </w:p>
        </w:tc>
        <w:tc>
          <w:tcPr>
            <w:tcW w:w="1392" w:type="dxa"/>
          </w:tcPr>
          <w:p w14:paraId="48601E60" w14:textId="77777777" w:rsidR="009B5CEC" w:rsidRDefault="00000000">
            <w:pPr>
              <w:snapToGrid w:val="0"/>
              <w:spacing w:line="360" w:lineRule="exact"/>
              <w:jc w:val="center"/>
              <w:rPr>
                <w:rFonts w:ascii="仿宋_GB2312" w:eastAsia="仿宋_GB2312" w:hAnsi="仿宋_GB2312" w:cs="仿宋_GB2312"/>
                <w:snapToGrid w:val="0"/>
                <w:kern w:val="11"/>
                <w:sz w:val="24"/>
              </w:rPr>
            </w:pPr>
            <w:r>
              <w:rPr>
                <w:rFonts w:ascii="仿宋_GB2312" w:eastAsia="仿宋_GB2312" w:hAnsi="仿宋_GB2312" w:cs="仿宋_GB2312" w:hint="eastAsia"/>
                <w:snapToGrid w:val="0"/>
                <w:kern w:val="11"/>
                <w:sz w:val="24"/>
              </w:rPr>
              <w:t>1</w:t>
            </w:r>
            <w:r>
              <w:rPr>
                <w:rFonts w:ascii="仿宋_GB2312" w:eastAsia="仿宋_GB2312" w:hAnsi="仿宋_GB2312" w:cs="仿宋_GB2312"/>
                <w:snapToGrid w:val="0"/>
                <w:kern w:val="11"/>
                <w:sz w:val="24"/>
              </w:rPr>
              <w:t>00</w:t>
            </w:r>
          </w:p>
        </w:tc>
      </w:tr>
    </w:tbl>
    <w:p w14:paraId="2AE5F467" w14:textId="77777777" w:rsidR="009B5CEC" w:rsidRDefault="00000000">
      <w:pPr>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．综合成绩评定：根据选手比赛的理论知识成绩和技能操作成绩，按照相应权重计算总成绩，按总成绩排序决定名次。按照比例确定选手晋级名单。</w:t>
      </w:r>
    </w:p>
    <w:p w14:paraId="52DDE863" w14:textId="77777777" w:rsidR="009B5CEC" w:rsidRDefault="00000000">
      <w:pPr>
        <w:rPr>
          <w:rFonts w:ascii="黑体" w:eastAsia="黑体" w:hAnsi="宋体"/>
          <w:sz w:val="30"/>
          <w:szCs w:val="30"/>
        </w:rPr>
      </w:pPr>
      <w:r>
        <w:rPr>
          <w:rFonts w:ascii="黑体" w:eastAsia="黑体" w:hAnsi="宋体" w:hint="eastAsia"/>
          <w:sz w:val="30"/>
          <w:szCs w:val="30"/>
        </w:rPr>
        <w:t>五、设备和工具材料</w:t>
      </w:r>
    </w:p>
    <w:p w14:paraId="2628F70E" w14:textId="77777777" w:rsidR="009B5CEC" w:rsidRDefault="00000000">
      <w:pPr>
        <w:spacing w:line="560" w:lineRule="exact"/>
        <w:ind w:firstLineChars="50" w:firstLine="150"/>
        <w:rPr>
          <w:rFonts w:eastAsia="仿宋_GB2312"/>
          <w:sz w:val="30"/>
          <w:szCs w:val="30"/>
        </w:rPr>
      </w:pPr>
      <w:r>
        <w:rPr>
          <w:rFonts w:eastAsia="仿宋_GB2312" w:hint="eastAsia"/>
          <w:sz w:val="30"/>
          <w:szCs w:val="30"/>
        </w:rPr>
        <w:t>1</w:t>
      </w:r>
      <w:r>
        <w:rPr>
          <w:rFonts w:eastAsia="仿宋_GB2312" w:hint="eastAsia"/>
          <w:sz w:val="30"/>
          <w:szCs w:val="30"/>
        </w:rPr>
        <w:t>．教室和配套桌椅。</w:t>
      </w:r>
    </w:p>
    <w:p w14:paraId="0C9AACCE" w14:textId="77777777" w:rsidR="009B5CEC" w:rsidRDefault="00000000">
      <w:pPr>
        <w:spacing w:line="560" w:lineRule="exact"/>
        <w:ind w:leftChars="71" w:left="299" w:hangingChars="50" w:hanging="150"/>
        <w:rPr>
          <w:rFonts w:eastAsia="仿宋_GB2312"/>
          <w:sz w:val="30"/>
          <w:szCs w:val="30"/>
        </w:rPr>
      </w:pPr>
      <w:r>
        <w:rPr>
          <w:rFonts w:eastAsia="仿宋_GB2312" w:hint="eastAsia"/>
          <w:sz w:val="30"/>
          <w:szCs w:val="30"/>
        </w:rPr>
        <w:t>2</w:t>
      </w:r>
      <w:r>
        <w:rPr>
          <w:rFonts w:eastAsia="仿宋_GB2312" w:hint="eastAsia"/>
          <w:sz w:val="30"/>
          <w:szCs w:val="30"/>
        </w:rPr>
        <w:t>．组委会提供竞赛中所用的工具材料，主要包括：竞赛花材；插花工具（修枝剪、剪刀、除刺夹等）；插花辅材（花器、花泥、绿铁丝、绿胶带、丝带及小配饰等）；塑料水桶、垃圾袋等。</w:t>
      </w:r>
    </w:p>
    <w:p w14:paraId="466119D1" w14:textId="2142F5B0" w:rsidR="009B5CEC" w:rsidRDefault="0094609A">
      <w:pPr>
        <w:rPr>
          <w:rFonts w:ascii="黑体" w:eastAsia="黑体" w:hAnsi="宋体"/>
          <w:sz w:val="30"/>
          <w:szCs w:val="30"/>
        </w:rPr>
      </w:pPr>
      <w:r>
        <w:rPr>
          <w:rFonts w:ascii="黑体" w:eastAsia="黑体" w:hAnsi="宋体" w:hint="eastAsia"/>
          <w:sz w:val="30"/>
          <w:szCs w:val="30"/>
        </w:rPr>
        <w:t>六、注意事项</w:t>
      </w:r>
    </w:p>
    <w:p w14:paraId="16285213" w14:textId="77777777" w:rsidR="009B5CEC" w:rsidRDefault="00000000">
      <w:pPr>
        <w:spacing w:line="560" w:lineRule="exact"/>
        <w:ind w:leftChars="71" w:left="449" w:hangingChars="100" w:hanging="300"/>
      </w:pPr>
      <w:r>
        <w:rPr>
          <w:rFonts w:eastAsia="仿宋_GB2312"/>
          <w:sz w:val="30"/>
          <w:szCs w:val="30"/>
        </w:rPr>
        <w:t>1</w:t>
      </w:r>
      <w:r>
        <w:rPr>
          <w:rFonts w:eastAsia="仿宋_GB2312" w:hint="eastAsia"/>
          <w:sz w:val="30"/>
          <w:szCs w:val="30"/>
        </w:rPr>
        <w:t>．本次竞赛活动严格按照北京市疫情防控要求开展。</w:t>
      </w:r>
    </w:p>
    <w:p w14:paraId="23E17301" w14:textId="77777777" w:rsidR="009B5CEC" w:rsidRDefault="00000000">
      <w:pPr>
        <w:spacing w:line="560" w:lineRule="exact"/>
        <w:ind w:firstLineChars="50" w:firstLine="150"/>
        <w:rPr>
          <w:rFonts w:eastAsia="仿宋_GB2312"/>
          <w:sz w:val="30"/>
          <w:szCs w:val="30"/>
        </w:rPr>
      </w:pPr>
      <w:r>
        <w:rPr>
          <w:rFonts w:eastAsia="仿宋_GB2312"/>
          <w:sz w:val="30"/>
          <w:szCs w:val="30"/>
        </w:rPr>
        <w:t>2</w:t>
      </w:r>
      <w:r>
        <w:rPr>
          <w:rFonts w:eastAsia="仿宋_GB2312"/>
          <w:sz w:val="30"/>
          <w:szCs w:val="30"/>
        </w:rPr>
        <w:t>．参赛选手严格遵守赛场纪律，接受裁判员监督和警示，文明竞赛。</w:t>
      </w:r>
    </w:p>
    <w:p w14:paraId="1B05A783" w14:textId="77777777" w:rsidR="009B5CEC" w:rsidRDefault="00000000">
      <w:pPr>
        <w:spacing w:line="560" w:lineRule="exact"/>
        <w:ind w:leftChars="71" w:left="599" w:hangingChars="150" w:hanging="450"/>
        <w:rPr>
          <w:rFonts w:eastAsia="仿宋_GB2312"/>
          <w:sz w:val="30"/>
          <w:szCs w:val="30"/>
        </w:rPr>
      </w:pPr>
      <w:r>
        <w:rPr>
          <w:rFonts w:eastAsia="仿宋_GB2312"/>
          <w:sz w:val="30"/>
          <w:szCs w:val="30"/>
        </w:rPr>
        <w:t>3</w:t>
      </w:r>
      <w:r>
        <w:rPr>
          <w:rFonts w:eastAsia="仿宋_GB2312"/>
          <w:sz w:val="30"/>
          <w:szCs w:val="30"/>
        </w:rPr>
        <w:t>．参赛选手进入赛场</w:t>
      </w:r>
      <w:r>
        <w:rPr>
          <w:rFonts w:eastAsia="仿宋_GB2312" w:hint="eastAsia"/>
          <w:sz w:val="30"/>
          <w:szCs w:val="30"/>
        </w:rPr>
        <w:t>时</w:t>
      </w:r>
      <w:r>
        <w:rPr>
          <w:rFonts w:eastAsia="仿宋_GB2312"/>
          <w:sz w:val="30"/>
          <w:szCs w:val="30"/>
        </w:rPr>
        <w:t>，</w:t>
      </w:r>
      <w:r>
        <w:rPr>
          <w:rFonts w:eastAsia="仿宋_GB2312" w:hint="eastAsia"/>
          <w:sz w:val="30"/>
          <w:szCs w:val="30"/>
        </w:rPr>
        <w:t>除可以</w:t>
      </w:r>
      <w:r>
        <w:rPr>
          <w:rFonts w:eastAsia="仿宋_GB2312"/>
          <w:sz w:val="30"/>
          <w:szCs w:val="30"/>
        </w:rPr>
        <w:t>携带</w:t>
      </w:r>
      <w:r>
        <w:rPr>
          <w:rFonts w:eastAsia="仿宋_GB2312" w:hint="eastAsia"/>
          <w:sz w:val="30"/>
          <w:szCs w:val="30"/>
        </w:rPr>
        <w:t>个人习惯使用工具（含枝</w:t>
      </w:r>
    </w:p>
    <w:p w14:paraId="42F7FE44" w14:textId="77777777" w:rsidR="009B5CEC" w:rsidRDefault="00000000">
      <w:pPr>
        <w:spacing w:line="560" w:lineRule="exact"/>
        <w:ind w:leftChars="71" w:left="599" w:hangingChars="150" w:hanging="450"/>
        <w:rPr>
          <w:rFonts w:eastAsia="仿宋_GB2312"/>
          <w:sz w:val="30"/>
          <w:szCs w:val="30"/>
        </w:rPr>
      </w:pPr>
      <w:r>
        <w:rPr>
          <w:rFonts w:eastAsia="仿宋_GB2312" w:hint="eastAsia"/>
          <w:sz w:val="30"/>
          <w:szCs w:val="30"/>
        </w:rPr>
        <w:t>剪、剪刀、除刺夹）以外</w:t>
      </w:r>
      <w:r>
        <w:rPr>
          <w:rFonts w:eastAsia="仿宋_GB2312"/>
          <w:sz w:val="30"/>
          <w:szCs w:val="30"/>
        </w:rPr>
        <w:t>，不允许携带任何书籍和其他参考资</w:t>
      </w:r>
    </w:p>
    <w:p w14:paraId="3EE260F4" w14:textId="77777777" w:rsidR="009B5CEC" w:rsidRDefault="00000000">
      <w:pPr>
        <w:spacing w:line="560" w:lineRule="exact"/>
        <w:ind w:leftChars="71" w:left="599" w:hangingChars="150" w:hanging="450"/>
        <w:rPr>
          <w:rFonts w:eastAsia="仿宋_GB2312"/>
          <w:sz w:val="30"/>
          <w:szCs w:val="30"/>
        </w:rPr>
      </w:pPr>
      <w:r>
        <w:rPr>
          <w:rFonts w:eastAsia="仿宋_GB2312"/>
          <w:sz w:val="30"/>
          <w:szCs w:val="30"/>
        </w:rPr>
        <w:t>料（相关技术资料由竞赛组委会提供），不允许携带通讯工具和</w:t>
      </w:r>
    </w:p>
    <w:p w14:paraId="0DAE39D9" w14:textId="77777777" w:rsidR="009B5CEC" w:rsidRDefault="00000000">
      <w:pPr>
        <w:spacing w:line="560" w:lineRule="exact"/>
        <w:ind w:leftChars="71" w:left="599" w:hangingChars="150" w:hanging="450"/>
        <w:rPr>
          <w:rFonts w:eastAsia="仿宋_GB2312"/>
          <w:sz w:val="30"/>
          <w:szCs w:val="30"/>
        </w:rPr>
      </w:pPr>
      <w:r>
        <w:rPr>
          <w:rFonts w:eastAsia="仿宋_GB2312"/>
          <w:sz w:val="30"/>
          <w:szCs w:val="30"/>
        </w:rPr>
        <w:t>存储设备。</w:t>
      </w:r>
    </w:p>
    <w:p w14:paraId="6FEDFF10" w14:textId="77777777" w:rsidR="009B5CEC" w:rsidRDefault="00000000">
      <w:pPr>
        <w:numPr>
          <w:ilvl w:val="0"/>
          <w:numId w:val="1"/>
        </w:numPr>
        <w:spacing w:line="560" w:lineRule="exact"/>
        <w:ind w:leftChars="71" w:left="449" w:hangingChars="100" w:hanging="300"/>
        <w:rPr>
          <w:rFonts w:eastAsia="仿宋_GB2312"/>
          <w:sz w:val="30"/>
          <w:szCs w:val="30"/>
        </w:rPr>
      </w:pPr>
      <w:r>
        <w:rPr>
          <w:rFonts w:eastAsia="仿宋_GB2312"/>
          <w:sz w:val="30"/>
          <w:szCs w:val="30"/>
        </w:rPr>
        <w:t>参赛选手应服从竞赛组委会的指挥和安排，爱护竞赛现场的</w:t>
      </w:r>
    </w:p>
    <w:p w14:paraId="185F02B9" w14:textId="77777777" w:rsidR="009B5CEC" w:rsidRDefault="00000000">
      <w:pPr>
        <w:spacing w:line="560" w:lineRule="exact"/>
        <w:ind w:leftChars="-29" w:left="-61"/>
        <w:rPr>
          <w:rFonts w:eastAsia="仿宋_GB2312"/>
          <w:sz w:val="30"/>
          <w:szCs w:val="30"/>
        </w:rPr>
      </w:pPr>
      <w:r>
        <w:rPr>
          <w:rFonts w:eastAsia="仿宋_GB2312"/>
          <w:sz w:val="30"/>
          <w:szCs w:val="30"/>
        </w:rPr>
        <w:lastRenderedPageBreak/>
        <w:t>设备和器材。</w:t>
      </w:r>
    </w:p>
    <w:p w14:paraId="0FF83B11" w14:textId="77777777" w:rsidR="009B5CEC" w:rsidRDefault="00000000">
      <w:pPr>
        <w:numPr>
          <w:ilvl w:val="0"/>
          <w:numId w:val="2"/>
        </w:numPr>
        <w:spacing w:line="560" w:lineRule="exact"/>
        <w:ind w:leftChars="71" w:left="449" w:hangingChars="100" w:hanging="300"/>
        <w:rPr>
          <w:rFonts w:eastAsia="仿宋_GB2312"/>
          <w:sz w:val="30"/>
          <w:szCs w:val="30"/>
        </w:rPr>
      </w:pPr>
      <w:r>
        <w:rPr>
          <w:rFonts w:eastAsia="仿宋_GB2312"/>
          <w:sz w:val="30"/>
          <w:szCs w:val="30"/>
        </w:rPr>
        <w:t>比赛期间，参赛选手必须严格遵守赛场纪律，不得在赛场内</w:t>
      </w:r>
    </w:p>
    <w:p w14:paraId="40FEB612" w14:textId="77777777" w:rsidR="009B5CEC" w:rsidRDefault="00000000">
      <w:pPr>
        <w:spacing w:line="560" w:lineRule="exact"/>
        <w:ind w:leftChars="-29" w:left="-61"/>
        <w:rPr>
          <w:rFonts w:eastAsia="仿宋_GB2312"/>
          <w:sz w:val="30"/>
          <w:szCs w:val="30"/>
        </w:rPr>
      </w:pPr>
      <w:r>
        <w:rPr>
          <w:rFonts w:eastAsia="仿宋_GB2312"/>
          <w:sz w:val="30"/>
          <w:szCs w:val="30"/>
        </w:rPr>
        <w:t>大声喧哗，不得作弊或弄虚作假；严格遵守操作规程，确保设备和人身安全，并接受裁判员监督和警示。若因选手</w:t>
      </w:r>
      <w:r>
        <w:rPr>
          <w:rFonts w:eastAsia="仿宋_GB2312" w:hint="eastAsia"/>
          <w:sz w:val="30"/>
          <w:szCs w:val="30"/>
        </w:rPr>
        <w:t>个人</w:t>
      </w:r>
      <w:r>
        <w:rPr>
          <w:rFonts w:eastAsia="仿宋_GB2312"/>
          <w:sz w:val="30"/>
          <w:szCs w:val="30"/>
        </w:rPr>
        <w:t>因素造成设备故障或损坏，无法进行比赛，裁判长有权终止该选手比赛</w:t>
      </w:r>
      <w:r>
        <w:rPr>
          <w:rFonts w:eastAsia="仿宋_GB2312" w:hint="eastAsia"/>
          <w:sz w:val="30"/>
          <w:szCs w:val="30"/>
        </w:rPr>
        <w:t>并扣除相应成绩</w:t>
      </w:r>
      <w:r>
        <w:rPr>
          <w:rFonts w:eastAsia="仿宋_GB2312"/>
          <w:sz w:val="30"/>
          <w:szCs w:val="30"/>
        </w:rPr>
        <w:t>；若因非选手个人因素造成设备故障的，由裁判长视具体情况做出裁决。</w:t>
      </w:r>
    </w:p>
    <w:p w14:paraId="21C120F0" w14:textId="2D41A256" w:rsidR="009B5CEC" w:rsidRDefault="00000000">
      <w:pPr>
        <w:numPr>
          <w:ilvl w:val="0"/>
          <w:numId w:val="3"/>
        </w:numPr>
        <w:spacing w:line="560" w:lineRule="exact"/>
        <w:ind w:leftChars="71" w:left="449" w:hangingChars="100" w:hanging="300"/>
        <w:rPr>
          <w:rFonts w:eastAsia="仿宋_GB2312"/>
          <w:sz w:val="30"/>
          <w:szCs w:val="30"/>
        </w:rPr>
      </w:pPr>
      <w:r>
        <w:rPr>
          <w:rFonts w:eastAsia="仿宋_GB2312" w:hint="eastAsia"/>
          <w:sz w:val="30"/>
          <w:szCs w:val="30"/>
        </w:rPr>
        <w:t>竞赛标准的解释权归竞赛组委会所有</w:t>
      </w:r>
      <w:r w:rsidR="0094609A">
        <w:rPr>
          <w:rFonts w:eastAsia="仿宋_GB2312" w:hint="eastAsia"/>
          <w:sz w:val="30"/>
          <w:szCs w:val="30"/>
        </w:rPr>
        <w:t>。</w:t>
      </w:r>
    </w:p>
    <w:p w14:paraId="09195F92" w14:textId="77777777" w:rsidR="009B5CEC" w:rsidRDefault="009B5CEC">
      <w:pPr>
        <w:spacing w:line="560" w:lineRule="exact"/>
        <w:rPr>
          <w:rFonts w:eastAsia="仿宋_GB2312"/>
          <w:sz w:val="30"/>
          <w:szCs w:val="30"/>
        </w:rPr>
      </w:pPr>
    </w:p>
    <w:sectPr w:rsidR="009B5CE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E0CD" w14:textId="77777777" w:rsidR="00E4524A" w:rsidRDefault="00E4524A">
      <w:r>
        <w:separator/>
      </w:r>
    </w:p>
  </w:endnote>
  <w:endnote w:type="continuationSeparator" w:id="0">
    <w:p w14:paraId="1EB48B4A" w14:textId="77777777" w:rsidR="00E4524A" w:rsidRDefault="00E4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9E2C" w14:textId="77777777" w:rsidR="00E4524A" w:rsidRDefault="00E4524A">
      <w:r>
        <w:separator/>
      </w:r>
    </w:p>
  </w:footnote>
  <w:footnote w:type="continuationSeparator" w:id="0">
    <w:p w14:paraId="6A25502E" w14:textId="77777777" w:rsidR="00E4524A" w:rsidRDefault="00E4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A953" w14:textId="77777777" w:rsidR="009B5CEC" w:rsidRDefault="009B5CEC">
    <w:pPr>
      <w:pStyle w:val="a7"/>
      <w:pBdr>
        <w:bottom w:val="none" w:sz="0" w:space="1" w:color="auto"/>
      </w:pBdr>
      <w:jc w:val="lef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0E674"/>
    <w:multiLevelType w:val="singleLevel"/>
    <w:tmpl w:val="62E0E674"/>
    <w:lvl w:ilvl="0">
      <w:start w:val="4"/>
      <w:numFmt w:val="decimal"/>
      <w:suff w:val="space"/>
      <w:lvlText w:val="%1."/>
      <w:lvlJc w:val="left"/>
    </w:lvl>
  </w:abstractNum>
  <w:abstractNum w:abstractNumId="1" w15:restartNumberingAfterBreak="0">
    <w:nsid w:val="62E0E683"/>
    <w:multiLevelType w:val="singleLevel"/>
    <w:tmpl w:val="62E0E683"/>
    <w:lvl w:ilvl="0">
      <w:start w:val="5"/>
      <w:numFmt w:val="decimal"/>
      <w:suff w:val="space"/>
      <w:lvlText w:val="%1."/>
      <w:lvlJc w:val="left"/>
    </w:lvl>
  </w:abstractNum>
  <w:abstractNum w:abstractNumId="2" w15:restartNumberingAfterBreak="0">
    <w:nsid w:val="62E0E698"/>
    <w:multiLevelType w:val="singleLevel"/>
    <w:tmpl w:val="62E0E698"/>
    <w:lvl w:ilvl="0">
      <w:start w:val="6"/>
      <w:numFmt w:val="decimal"/>
      <w:suff w:val="space"/>
      <w:lvlText w:val="%1."/>
      <w:lvlJc w:val="left"/>
    </w:lvl>
  </w:abstractNum>
  <w:num w:numId="1" w16cid:durableId="1919435079">
    <w:abstractNumId w:val="0"/>
  </w:num>
  <w:num w:numId="2" w16cid:durableId="849759308">
    <w:abstractNumId w:val="1"/>
  </w:num>
  <w:num w:numId="3" w16cid:durableId="19759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CEC"/>
    <w:rsid w:val="001521C2"/>
    <w:rsid w:val="005E0F90"/>
    <w:rsid w:val="00653C14"/>
    <w:rsid w:val="0094609A"/>
    <w:rsid w:val="009B5CEC"/>
    <w:rsid w:val="00E4524A"/>
    <w:rsid w:val="00FA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A50C8D8"/>
  <w15:docId w15:val="{470DB5AC-5050-4598-A183-B439977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cs="黑体"/>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paragraph" w:customStyle="1" w:styleId="1">
    <w:name w:val="列表段落1"/>
    <w:basedOn w:val="a"/>
    <w:uiPriority w:val="34"/>
    <w:qFormat/>
    <w:pPr>
      <w:ind w:firstLineChars="200" w:firstLine="420"/>
    </w:p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海淀区第十届残疾人职业技能竞赛初赛</dc:title>
  <dc:creator>LiMing</dc:creator>
  <cp:lastModifiedBy> </cp:lastModifiedBy>
  <cp:revision>3</cp:revision>
  <dcterms:created xsi:type="dcterms:W3CDTF">2022-07-27T16:02:00Z</dcterms:created>
  <dcterms:modified xsi:type="dcterms:W3CDTF">2022-07-29T14:42:00Z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