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ind w:right="480"/>
        <w:jc w:val="left"/>
        <w:rPr>
          <w:rFonts w:ascii="黑体" w:hAnsi="黑体" w:eastAsia="黑体" w:cs="宋体"/>
          <w:color w:val="000000"/>
          <w:kern w:val="0"/>
        </w:rPr>
      </w:pPr>
      <w:r>
        <w:rPr>
          <w:rFonts w:hint="eastAsia" w:ascii="黑体" w:hAnsi="黑体" w:eastAsia="黑体" w:cs="宋体"/>
          <w:color w:val="000000"/>
          <w:kern w:val="0"/>
        </w:rPr>
        <w:t>附件</w:t>
      </w:r>
    </w:p>
    <w:p>
      <w:pPr>
        <w:ind w:left="315" w:leftChars="150" w:firstLine="1441" w:firstLineChars="400"/>
        <w:jc w:val="center"/>
        <w:rPr>
          <w:rFonts w:ascii="华文中宋" w:hAnsi="华文中宋" w:eastAsia="华文中宋"/>
          <w:b/>
          <w:sz w:val="36"/>
          <w:szCs w:val="36"/>
        </w:rPr>
      </w:pPr>
      <w:r>
        <w:rPr>
          <w:rFonts w:hint="eastAsia" w:ascii="华文中宋" w:hAnsi="华文中宋" w:eastAsia="华文中宋"/>
          <w:b/>
          <w:sz w:val="36"/>
          <w:szCs w:val="36"/>
          <w:lang w:eastAsia="zh-CN"/>
        </w:rPr>
        <w:t>“走基层</w:t>
      </w:r>
      <w:r>
        <w:rPr>
          <w:rFonts w:hint="eastAsia" w:ascii="华文中宋" w:hAnsi="华文中宋" w:eastAsia="华文中宋"/>
          <w:b/>
          <w:sz w:val="36"/>
          <w:szCs w:val="36"/>
          <w:lang w:val="en-US" w:eastAsia="zh-CN"/>
        </w:rPr>
        <w:t xml:space="preserve"> 送培训</w:t>
      </w:r>
      <w:r>
        <w:rPr>
          <w:rFonts w:hint="eastAsia" w:ascii="华文中宋" w:hAnsi="华文中宋" w:eastAsia="华文中宋"/>
          <w:b/>
          <w:sz w:val="36"/>
          <w:szCs w:val="36"/>
          <w:lang w:eastAsia="zh-CN"/>
        </w:rPr>
        <w:t>”</w:t>
      </w:r>
      <w:r>
        <w:rPr>
          <w:rFonts w:hint="eastAsia" w:ascii="华文中宋" w:hAnsi="华文中宋" w:eastAsia="华文中宋" w:cs="Times New Roman"/>
          <w:b/>
          <w:sz w:val="36"/>
          <w:szCs w:val="36"/>
        </w:rPr>
        <w:t>项目</w:t>
      </w:r>
      <w:r>
        <w:rPr>
          <w:rFonts w:hint="eastAsia" w:ascii="华文中宋" w:hAnsi="华文中宋" w:eastAsia="华文中宋" w:cs="宋体"/>
          <w:b/>
          <w:color w:val="000000"/>
          <w:kern w:val="0"/>
          <w:sz w:val="36"/>
          <w:szCs w:val="36"/>
        </w:rPr>
        <w:t>评分表</w:t>
      </w:r>
    </w:p>
    <w:p>
      <w:pPr>
        <w:ind w:firstLine="420" w:firstLineChars="200"/>
        <w:rPr>
          <w:rFonts w:ascii="华文中宋" w:hAnsi="华文中宋" w:eastAsia="华文中宋" w:cs="宋体"/>
          <w:b/>
          <w:color w:val="000000"/>
          <w:kern w:val="0"/>
          <w:sz w:val="36"/>
          <w:szCs w:val="36"/>
        </w:rPr>
      </w:pPr>
      <w:r>
        <w:rPr>
          <w:rFonts w:hint="eastAsia" w:ascii="宋体-18030" w:hAnsi="宋体-18030" w:eastAsia="宋体-18030" w:cs="宋体-18030"/>
          <w:color w:val="000000"/>
          <w:kern w:val="0"/>
          <w:szCs w:val="21"/>
        </w:rPr>
        <w:t>制表单位：               日期：</w:t>
      </w:r>
    </w:p>
    <w:tbl>
      <w:tblPr>
        <w:tblStyle w:val="8"/>
        <w:tblW w:w="140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4"/>
        <w:gridCol w:w="840"/>
        <w:gridCol w:w="767"/>
        <w:gridCol w:w="576"/>
        <w:gridCol w:w="5680"/>
        <w:gridCol w:w="705"/>
        <w:gridCol w:w="1702"/>
        <w:gridCol w:w="1702"/>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4"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序号</w:t>
            </w:r>
          </w:p>
        </w:tc>
        <w:tc>
          <w:tcPr>
            <w:tcW w:w="840"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评分因素</w:t>
            </w:r>
          </w:p>
        </w:tc>
        <w:tc>
          <w:tcPr>
            <w:tcW w:w="767"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项 目</w:t>
            </w:r>
          </w:p>
        </w:tc>
        <w:tc>
          <w:tcPr>
            <w:tcW w:w="576"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标准分</w:t>
            </w:r>
          </w:p>
        </w:tc>
        <w:tc>
          <w:tcPr>
            <w:tcW w:w="5680"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评分标准</w:t>
            </w:r>
          </w:p>
        </w:tc>
        <w:tc>
          <w:tcPr>
            <w:tcW w:w="705" w:type="dxa"/>
            <w:shd w:val="clear" w:color="auto" w:fill="auto"/>
            <w:vAlign w:val="center"/>
          </w:tcPr>
          <w:p>
            <w:pPr>
              <w:snapToGrid w:val="0"/>
              <w:spacing w:line="240" w:lineRule="exact"/>
              <w:jc w:val="center"/>
              <w:rPr>
                <w:rFonts w:ascii="宋体" w:hAnsi="宋体"/>
                <w:sz w:val="18"/>
              </w:rPr>
            </w:pPr>
            <w:r>
              <w:rPr>
                <w:rFonts w:hint="eastAsia" w:ascii="宋体" w:hAnsi="宋体"/>
                <w:b/>
                <w:sz w:val="18"/>
              </w:rPr>
              <w:t>分值</w:t>
            </w:r>
          </w:p>
        </w:tc>
        <w:tc>
          <w:tcPr>
            <w:tcW w:w="1702" w:type="dxa"/>
            <w:vAlign w:val="center"/>
          </w:tcPr>
          <w:p>
            <w:pPr>
              <w:snapToGrid w:val="0"/>
              <w:spacing w:line="240" w:lineRule="exact"/>
              <w:jc w:val="center"/>
              <w:rPr>
                <w:rFonts w:ascii="宋体" w:hAnsi="宋体"/>
                <w:b/>
                <w:sz w:val="18"/>
              </w:rPr>
            </w:pPr>
            <w:r>
              <w:rPr>
                <w:rFonts w:hint="eastAsia" w:ascii="宋体" w:hAnsi="宋体"/>
                <w:b/>
                <w:sz w:val="18"/>
              </w:rPr>
              <w:t xml:space="preserve"> </w:t>
            </w:r>
          </w:p>
        </w:tc>
        <w:tc>
          <w:tcPr>
            <w:tcW w:w="1702" w:type="dxa"/>
            <w:vAlign w:val="center"/>
          </w:tcPr>
          <w:p>
            <w:pPr>
              <w:snapToGrid w:val="0"/>
              <w:spacing w:line="240" w:lineRule="exact"/>
              <w:jc w:val="center"/>
              <w:rPr>
                <w:rFonts w:ascii="宋体" w:hAnsi="宋体"/>
                <w:b/>
                <w:sz w:val="18"/>
              </w:rPr>
            </w:pPr>
            <w:r>
              <w:rPr>
                <w:rFonts w:hint="eastAsia" w:ascii="宋体" w:hAnsi="宋体"/>
                <w:b/>
                <w:sz w:val="18"/>
              </w:rPr>
              <w:t xml:space="preserve"> </w:t>
            </w:r>
          </w:p>
        </w:tc>
        <w:tc>
          <w:tcPr>
            <w:tcW w:w="1649" w:type="dxa"/>
            <w:vAlign w:val="center"/>
          </w:tcPr>
          <w:p>
            <w:pPr>
              <w:snapToGrid w:val="0"/>
              <w:spacing w:line="240" w:lineRule="exact"/>
              <w:jc w:val="center"/>
              <w:rPr>
                <w:rFonts w:ascii="宋体" w:hAnsi="宋体"/>
                <w:b/>
                <w:sz w:val="18"/>
              </w:rPr>
            </w:pPr>
            <w:r>
              <w:rPr>
                <w:rFonts w:hint="eastAsia" w:ascii="宋体" w:hAnsi="宋体"/>
                <w:b/>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restart"/>
            <w:shd w:val="clear" w:color="auto" w:fill="auto"/>
            <w:vAlign w:val="center"/>
          </w:tcPr>
          <w:p>
            <w:pPr>
              <w:snapToGrid w:val="0"/>
              <w:spacing w:line="240" w:lineRule="exact"/>
              <w:jc w:val="center"/>
              <w:rPr>
                <w:rFonts w:ascii="宋体" w:hAnsi="宋体"/>
                <w:b/>
                <w:sz w:val="18"/>
              </w:rPr>
            </w:pPr>
            <w:r>
              <w:rPr>
                <w:rFonts w:hint="eastAsia" w:ascii="宋体" w:hAnsi="宋体"/>
                <w:b/>
                <w:sz w:val="18"/>
              </w:rPr>
              <w:t>1</w:t>
            </w:r>
          </w:p>
        </w:tc>
        <w:tc>
          <w:tcPr>
            <w:tcW w:w="840" w:type="dxa"/>
            <w:vMerge w:val="restart"/>
            <w:shd w:val="clear" w:color="auto" w:fill="auto"/>
            <w:vAlign w:val="center"/>
          </w:tcPr>
          <w:p>
            <w:pPr>
              <w:spacing w:line="240" w:lineRule="exact"/>
              <w:jc w:val="center"/>
              <w:rPr>
                <w:rFonts w:ascii="宋体" w:hAnsi="宋体"/>
                <w:sz w:val="18"/>
              </w:rPr>
            </w:pPr>
            <w:r>
              <w:rPr>
                <w:rFonts w:hint="eastAsia" w:ascii="宋体" w:hAnsi="宋体"/>
                <w:b/>
                <w:sz w:val="18"/>
              </w:rPr>
              <w:t>商务部分（35分）</w:t>
            </w:r>
          </w:p>
        </w:tc>
        <w:tc>
          <w:tcPr>
            <w:tcW w:w="767" w:type="dxa"/>
            <w:vMerge w:val="restart"/>
            <w:shd w:val="clear" w:color="auto" w:fill="auto"/>
            <w:vAlign w:val="center"/>
          </w:tcPr>
          <w:p>
            <w:pPr>
              <w:spacing w:line="240" w:lineRule="exact"/>
              <w:rPr>
                <w:rFonts w:ascii="宋体" w:hAnsi="宋体"/>
                <w:sz w:val="18"/>
              </w:rPr>
            </w:pPr>
            <w:r>
              <w:rPr>
                <w:rFonts w:hint="eastAsia" w:ascii="宋体" w:hAnsi="宋体"/>
                <w:sz w:val="18"/>
              </w:rPr>
              <w:t>机构资质</w:t>
            </w:r>
          </w:p>
        </w:tc>
        <w:tc>
          <w:tcPr>
            <w:tcW w:w="576" w:type="dxa"/>
            <w:vMerge w:val="restart"/>
            <w:shd w:val="clear" w:color="auto" w:fill="auto"/>
            <w:vAlign w:val="center"/>
          </w:tcPr>
          <w:p>
            <w:pPr>
              <w:snapToGrid w:val="0"/>
              <w:spacing w:line="240" w:lineRule="exact"/>
              <w:jc w:val="center"/>
              <w:rPr>
                <w:rFonts w:ascii="宋体" w:hAnsi="宋体"/>
                <w:sz w:val="18"/>
              </w:rPr>
            </w:pPr>
            <w:r>
              <w:rPr>
                <w:rFonts w:hint="eastAsia" w:ascii="宋体" w:hAnsi="宋体"/>
                <w:sz w:val="18"/>
              </w:rPr>
              <w:t>15</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机构相关资格证明文件（企业法人营业执照、机构登记证书或其他组织证书）、机构法定代表人身份证复印件、法定代表人授权证书、受委托人身份证复印件</w:t>
            </w:r>
          </w:p>
        </w:tc>
        <w:tc>
          <w:tcPr>
            <w:tcW w:w="705" w:type="dxa"/>
            <w:shd w:val="clear" w:color="auto" w:fill="auto"/>
            <w:vAlign w:val="center"/>
          </w:tcPr>
          <w:p>
            <w:pPr>
              <w:spacing w:line="240" w:lineRule="exact"/>
              <w:jc w:val="center"/>
              <w:rPr>
                <w:rFonts w:ascii="宋体" w:hAnsi="宋体"/>
                <w:sz w:val="18"/>
              </w:rPr>
            </w:pPr>
            <w:r>
              <w:rPr>
                <w:rFonts w:hint="eastAsia" w:ascii="宋体" w:hAnsi="宋体"/>
                <w:sz w:val="18"/>
              </w:rPr>
              <w:t>0-5</w:t>
            </w:r>
          </w:p>
        </w:tc>
        <w:tc>
          <w:tcPr>
            <w:tcW w:w="1702" w:type="dxa"/>
            <w:vAlign w:val="center"/>
          </w:tcPr>
          <w:p>
            <w:pPr>
              <w:spacing w:line="240" w:lineRule="exact"/>
              <w:jc w:val="center"/>
              <w:rPr>
                <w:rFonts w:ascii="宋体" w:hAnsi="宋体"/>
                <w:sz w:val="18"/>
              </w:rPr>
            </w:pPr>
          </w:p>
        </w:tc>
        <w:tc>
          <w:tcPr>
            <w:tcW w:w="1702" w:type="dxa"/>
            <w:vAlign w:val="center"/>
          </w:tcPr>
          <w:p>
            <w:pPr>
              <w:spacing w:line="240" w:lineRule="exact"/>
              <w:jc w:val="center"/>
              <w:rPr>
                <w:rFonts w:ascii="宋体" w:hAnsi="宋体"/>
                <w:sz w:val="18"/>
              </w:rPr>
            </w:pPr>
          </w:p>
        </w:tc>
        <w:tc>
          <w:tcPr>
            <w:tcW w:w="1649"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b/>
                <w:sz w:val="18"/>
              </w:rPr>
            </w:pPr>
          </w:p>
        </w:tc>
        <w:tc>
          <w:tcPr>
            <w:tcW w:w="840" w:type="dxa"/>
            <w:vMerge w:val="continue"/>
            <w:shd w:val="clear" w:color="auto" w:fill="auto"/>
            <w:vAlign w:val="center"/>
          </w:tcPr>
          <w:p>
            <w:pPr>
              <w:spacing w:line="240" w:lineRule="exact"/>
              <w:jc w:val="center"/>
              <w:rPr>
                <w:rFonts w:ascii="宋体" w:hAnsi="宋体"/>
                <w:b/>
                <w:sz w:val="18"/>
              </w:rPr>
            </w:pPr>
          </w:p>
        </w:tc>
        <w:tc>
          <w:tcPr>
            <w:tcW w:w="767" w:type="dxa"/>
            <w:vMerge w:val="continue"/>
            <w:shd w:val="clear" w:color="auto" w:fill="auto"/>
            <w:vAlign w:val="center"/>
          </w:tcPr>
          <w:p>
            <w:pPr>
              <w:spacing w:line="240" w:lineRule="exact"/>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机构财务条件具有履约能力（近六个月内任三个月依法缴纳税收和社会保障金的凭证复印件）</w:t>
            </w:r>
            <w:r>
              <w:rPr>
                <w:rFonts w:hint="eastAsia" w:ascii="宋体" w:hAnsi="宋体"/>
                <w:sz w:val="18"/>
                <w:lang w:eastAsia="zh-CN"/>
              </w:rPr>
              <w:t>，</w:t>
            </w:r>
            <w:r>
              <w:rPr>
                <w:rFonts w:hint="eastAsia" w:ascii="宋体" w:hAnsi="宋体"/>
                <w:sz w:val="18"/>
              </w:rPr>
              <w:t>“信用中国”网站查询企业无不良行为,未被列入失信被执行人、重大税收违法案件当事人名单，并加盖公章</w:t>
            </w:r>
          </w:p>
        </w:tc>
        <w:tc>
          <w:tcPr>
            <w:tcW w:w="705" w:type="dxa"/>
            <w:shd w:val="clear" w:color="auto" w:fill="auto"/>
            <w:vAlign w:val="center"/>
          </w:tcPr>
          <w:p>
            <w:pPr>
              <w:spacing w:line="240" w:lineRule="exact"/>
              <w:jc w:val="center"/>
              <w:rPr>
                <w:rFonts w:ascii="宋体" w:hAnsi="宋体"/>
                <w:sz w:val="18"/>
              </w:rPr>
            </w:pPr>
            <w:r>
              <w:rPr>
                <w:rFonts w:hint="eastAsia" w:ascii="宋体" w:hAnsi="宋体"/>
                <w:sz w:val="18"/>
              </w:rPr>
              <w:t>0-5</w:t>
            </w:r>
          </w:p>
        </w:tc>
        <w:tc>
          <w:tcPr>
            <w:tcW w:w="1702" w:type="dxa"/>
            <w:vAlign w:val="center"/>
          </w:tcPr>
          <w:p>
            <w:pPr>
              <w:spacing w:line="240" w:lineRule="exact"/>
              <w:jc w:val="center"/>
              <w:rPr>
                <w:rFonts w:ascii="宋体" w:hAnsi="宋体"/>
                <w:sz w:val="18"/>
              </w:rPr>
            </w:pPr>
          </w:p>
        </w:tc>
        <w:tc>
          <w:tcPr>
            <w:tcW w:w="1702" w:type="dxa"/>
            <w:vAlign w:val="center"/>
          </w:tcPr>
          <w:p>
            <w:pPr>
              <w:spacing w:line="240" w:lineRule="exact"/>
              <w:jc w:val="center"/>
              <w:rPr>
                <w:rFonts w:ascii="宋体" w:hAnsi="宋体"/>
                <w:sz w:val="18"/>
              </w:rPr>
            </w:pPr>
          </w:p>
        </w:tc>
        <w:tc>
          <w:tcPr>
            <w:tcW w:w="1649"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b/>
                <w:sz w:val="18"/>
              </w:rPr>
            </w:pPr>
          </w:p>
        </w:tc>
        <w:tc>
          <w:tcPr>
            <w:tcW w:w="840" w:type="dxa"/>
            <w:vMerge w:val="continue"/>
            <w:shd w:val="clear" w:color="auto" w:fill="auto"/>
            <w:vAlign w:val="center"/>
          </w:tcPr>
          <w:p>
            <w:pPr>
              <w:spacing w:line="240" w:lineRule="exact"/>
              <w:jc w:val="center"/>
              <w:rPr>
                <w:rFonts w:ascii="宋体" w:hAnsi="宋体"/>
                <w:b/>
                <w:sz w:val="18"/>
              </w:rPr>
            </w:pPr>
          </w:p>
        </w:tc>
        <w:tc>
          <w:tcPr>
            <w:tcW w:w="767" w:type="dxa"/>
            <w:vMerge w:val="continue"/>
            <w:shd w:val="clear" w:color="auto" w:fill="auto"/>
            <w:vAlign w:val="center"/>
          </w:tcPr>
          <w:p>
            <w:pPr>
              <w:spacing w:line="240" w:lineRule="exact"/>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机构信用证明材料或近三年内在经营活动中没有重大违法记录的书面声明，并加盖公章</w:t>
            </w:r>
          </w:p>
        </w:tc>
        <w:tc>
          <w:tcPr>
            <w:tcW w:w="705" w:type="dxa"/>
            <w:shd w:val="clear" w:color="auto" w:fill="auto"/>
            <w:vAlign w:val="center"/>
          </w:tcPr>
          <w:p>
            <w:pPr>
              <w:spacing w:line="240" w:lineRule="exact"/>
              <w:jc w:val="center"/>
              <w:rPr>
                <w:rFonts w:ascii="宋体" w:hAnsi="宋体"/>
                <w:sz w:val="18"/>
              </w:rPr>
            </w:pPr>
            <w:r>
              <w:rPr>
                <w:rFonts w:hint="eastAsia" w:ascii="宋体" w:hAnsi="宋体"/>
                <w:sz w:val="18"/>
              </w:rPr>
              <w:t>0-5</w:t>
            </w:r>
          </w:p>
        </w:tc>
        <w:tc>
          <w:tcPr>
            <w:tcW w:w="1702" w:type="dxa"/>
            <w:vAlign w:val="center"/>
          </w:tcPr>
          <w:p>
            <w:pPr>
              <w:spacing w:line="240" w:lineRule="exact"/>
              <w:jc w:val="center"/>
              <w:rPr>
                <w:rFonts w:ascii="宋体" w:hAnsi="宋体"/>
                <w:sz w:val="18"/>
              </w:rPr>
            </w:pPr>
          </w:p>
        </w:tc>
        <w:tc>
          <w:tcPr>
            <w:tcW w:w="1702" w:type="dxa"/>
            <w:vAlign w:val="center"/>
          </w:tcPr>
          <w:p>
            <w:pPr>
              <w:spacing w:line="240" w:lineRule="exact"/>
              <w:jc w:val="center"/>
              <w:rPr>
                <w:rFonts w:ascii="宋体" w:hAnsi="宋体"/>
                <w:sz w:val="18"/>
              </w:rPr>
            </w:pPr>
          </w:p>
        </w:tc>
        <w:tc>
          <w:tcPr>
            <w:tcW w:w="1649"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shd w:val="clear" w:color="auto" w:fill="auto"/>
            <w:vAlign w:val="center"/>
          </w:tcPr>
          <w:p>
            <w:pPr>
              <w:spacing w:line="240" w:lineRule="exact"/>
              <w:rPr>
                <w:rFonts w:ascii="宋体" w:hAnsi="宋体"/>
                <w:sz w:val="18"/>
              </w:rPr>
            </w:pPr>
            <w:r>
              <w:rPr>
                <w:rFonts w:hint="eastAsia" w:ascii="宋体" w:hAnsi="宋体"/>
                <w:sz w:val="18"/>
              </w:rPr>
              <w:t>相关业绩</w:t>
            </w:r>
          </w:p>
        </w:tc>
        <w:tc>
          <w:tcPr>
            <w:tcW w:w="576" w:type="dxa"/>
            <w:shd w:val="clear" w:color="auto" w:fill="auto"/>
            <w:vAlign w:val="center"/>
          </w:tcPr>
          <w:p>
            <w:pPr>
              <w:snapToGrid w:val="0"/>
              <w:spacing w:line="240" w:lineRule="exact"/>
              <w:jc w:val="center"/>
              <w:rPr>
                <w:rFonts w:ascii="宋体" w:hAnsi="宋体"/>
                <w:sz w:val="18"/>
              </w:rPr>
            </w:pPr>
            <w:r>
              <w:rPr>
                <w:rFonts w:hint="eastAsia" w:ascii="宋体" w:hAnsi="宋体"/>
                <w:sz w:val="18"/>
              </w:rPr>
              <w:t>20</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承担过类似项目，每提供一份合同复印件（含合同首页、内容所在页、合同金额页、签字盖章页）得5分，最高20分</w:t>
            </w:r>
          </w:p>
        </w:tc>
        <w:tc>
          <w:tcPr>
            <w:tcW w:w="705" w:type="dxa"/>
            <w:shd w:val="clear" w:color="auto" w:fill="auto"/>
            <w:vAlign w:val="center"/>
          </w:tcPr>
          <w:p>
            <w:pPr>
              <w:spacing w:line="240" w:lineRule="exact"/>
              <w:jc w:val="center"/>
              <w:rPr>
                <w:rFonts w:ascii="宋体" w:hAnsi="宋体"/>
                <w:sz w:val="18"/>
              </w:rPr>
            </w:pPr>
            <w:r>
              <w:rPr>
                <w:rFonts w:ascii="宋体" w:hAnsi="宋体"/>
                <w:sz w:val="18"/>
              </w:rPr>
              <w:t>0-</w:t>
            </w:r>
            <w:r>
              <w:rPr>
                <w:rFonts w:hint="eastAsia" w:ascii="宋体" w:hAnsi="宋体"/>
                <w:sz w:val="18"/>
              </w:rPr>
              <w:t>20</w:t>
            </w:r>
          </w:p>
        </w:tc>
        <w:tc>
          <w:tcPr>
            <w:tcW w:w="1702" w:type="dxa"/>
            <w:vAlign w:val="center"/>
          </w:tcPr>
          <w:p>
            <w:pPr>
              <w:spacing w:line="240" w:lineRule="exact"/>
              <w:jc w:val="center"/>
              <w:rPr>
                <w:rFonts w:ascii="宋体" w:hAnsi="宋体"/>
                <w:sz w:val="18"/>
              </w:rPr>
            </w:pPr>
          </w:p>
        </w:tc>
        <w:tc>
          <w:tcPr>
            <w:tcW w:w="1702" w:type="dxa"/>
            <w:vAlign w:val="center"/>
          </w:tcPr>
          <w:p>
            <w:pPr>
              <w:spacing w:line="240" w:lineRule="exact"/>
              <w:jc w:val="center"/>
              <w:rPr>
                <w:rFonts w:ascii="宋体" w:hAnsi="宋体"/>
                <w:sz w:val="18"/>
              </w:rPr>
            </w:pPr>
          </w:p>
        </w:tc>
        <w:tc>
          <w:tcPr>
            <w:tcW w:w="1649"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4" w:type="dxa"/>
            <w:vMerge w:val="restart"/>
            <w:shd w:val="clear" w:color="auto" w:fill="auto"/>
            <w:vAlign w:val="center"/>
          </w:tcPr>
          <w:p>
            <w:pPr>
              <w:snapToGrid w:val="0"/>
              <w:spacing w:line="240" w:lineRule="exact"/>
              <w:jc w:val="center"/>
              <w:rPr>
                <w:rFonts w:ascii="宋体" w:hAnsi="宋体"/>
                <w:b/>
                <w:sz w:val="18"/>
              </w:rPr>
            </w:pPr>
            <w:r>
              <w:rPr>
                <w:rFonts w:hint="eastAsia" w:ascii="宋体" w:hAnsi="宋体"/>
                <w:b/>
                <w:sz w:val="18"/>
              </w:rPr>
              <w:t xml:space="preserve">                                                                                                                                                                                                                                                                                                                                                                                                                                                                                                                                                                                                                                                                                                                                                                                                                                                                                                                                                                                                                                                                                                                                                                                                                                                                                                                                                                                                                                                                                                                                                                                                                                                                                                                                                                                                                                                                                                                                                                                                                                                                                                                                                                                                                                                                                                                                                                                                                                                                                                                                                                                                                                                                                                                                                                                                                                                                                                                                                                                                                                                                                                                                                                                                                                                                                                                                                                                                                                                                                                                        2</w:t>
            </w:r>
          </w:p>
        </w:tc>
        <w:tc>
          <w:tcPr>
            <w:tcW w:w="840" w:type="dxa"/>
            <w:vMerge w:val="restart"/>
            <w:shd w:val="clear" w:color="auto" w:fill="auto"/>
            <w:vAlign w:val="center"/>
          </w:tcPr>
          <w:p>
            <w:pPr>
              <w:spacing w:line="240" w:lineRule="exact"/>
              <w:jc w:val="center"/>
              <w:rPr>
                <w:rFonts w:ascii="宋体" w:hAnsi="宋体"/>
                <w:b/>
                <w:sz w:val="18"/>
              </w:rPr>
            </w:pPr>
            <w:r>
              <w:rPr>
                <w:rFonts w:hint="eastAsia" w:ascii="宋体" w:hAnsi="宋体"/>
                <w:b/>
                <w:sz w:val="18"/>
              </w:rPr>
              <w:t>技术部分（55分）</w:t>
            </w:r>
          </w:p>
        </w:tc>
        <w:tc>
          <w:tcPr>
            <w:tcW w:w="767" w:type="dxa"/>
            <w:vMerge w:val="restart"/>
            <w:shd w:val="clear" w:color="auto" w:fill="auto"/>
            <w:vAlign w:val="center"/>
          </w:tcPr>
          <w:p>
            <w:pPr>
              <w:spacing w:line="240" w:lineRule="exact"/>
              <w:rPr>
                <w:rFonts w:ascii="宋体" w:hAnsi="宋体"/>
                <w:sz w:val="18"/>
              </w:rPr>
            </w:pPr>
            <w:r>
              <w:rPr>
                <w:rFonts w:hint="eastAsia" w:ascii="宋体" w:hAnsi="宋体"/>
                <w:sz w:val="18"/>
                <w:lang w:eastAsia="zh-CN"/>
              </w:rPr>
              <w:t>培训</w:t>
            </w:r>
            <w:r>
              <w:rPr>
                <w:rFonts w:hint="eastAsia" w:ascii="宋体" w:hAnsi="宋体"/>
                <w:sz w:val="18"/>
              </w:rPr>
              <w:t>服务方案与措施</w:t>
            </w:r>
          </w:p>
        </w:tc>
        <w:tc>
          <w:tcPr>
            <w:tcW w:w="576" w:type="dxa"/>
            <w:vMerge w:val="restart"/>
            <w:shd w:val="clear" w:color="auto" w:fill="auto"/>
            <w:vAlign w:val="center"/>
          </w:tcPr>
          <w:p>
            <w:pPr>
              <w:snapToGrid w:val="0"/>
              <w:spacing w:line="240" w:lineRule="exact"/>
              <w:jc w:val="center"/>
              <w:rPr>
                <w:rFonts w:ascii="宋体" w:hAnsi="宋体"/>
                <w:sz w:val="18"/>
              </w:rPr>
            </w:pPr>
            <w:r>
              <w:rPr>
                <w:rFonts w:ascii="宋体" w:hAnsi="宋体"/>
                <w:sz w:val="18"/>
              </w:rPr>
              <w:t>15</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服务方案完整，合理可行，服务内容及措施细致、具有针对性、可操作性</w:t>
            </w:r>
            <w:r>
              <w:rPr>
                <w:rFonts w:hint="eastAsia" w:ascii="宋体" w:hAnsi="宋体"/>
                <w:sz w:val="18"/>
                <w:lang w:eastAsia="zh-CN"/>
              </w:rPr>
              <w:t>强</w:t>
            </w:r>
            <w:r>
              <w:rPr>
                <w:rFonts w:hint="eastAsia" w:ascii="宋体" w:hAnsi="宋体"/>
                <w:sz w:val="18"/>
              </w:rPr>
              <w:t>，能够满足项目需求（10</w:t>
            </w:r>
            <w:r>
              <w:rPr>
                <w:rFonts w:ascii="宋体" w:hAnsi="宋体"/>
                <w:sz w:val="18"/>
              </w:rPr>
              <w:t>-15</w:t>
            </w:r>
            <w:r>
              <w:rPr>
                <w:rFonts w:hint="eastAsia" w:ascii="宋体" w:hAnsi="宋体"/>
                <w:sz w:val="18"/>
              </w:rPr>
              <w:t>）；</w:t>
            </w:r>
          </w:p>
        </w:tc>
        <w:tc>
          <w:tcPr>
            <w:tcW w:w="705" w:type="dxa"/>
            <w:vMerge w:val="restart"/>
            <w:shd w:val="clear" w:color="auto" w:fill="auto"/>
            <w:vAlign w:val="center"/>
          </w:tcPr>
          <w:p>
            <w:pPr>
              <w:spacing w:line="240" w:lineRule="exact"/>
              <w:jc w:val="center"/>
              <w:rPr>
                <w:rFonts w:ascii="宋体" w:hAnsi="宋体"/>
                <w:sz w:val="18"/>
              </w:rPr>
            </w:pPr>
            <w:r>
              <w:rPr>
                <w:rFonts w:hint="eastAsia" w:ascii="宋体" w:hAnsi="宋体"/>
                <w:sz w:val="18"/>
              </w:rPr>
              <w:t>0</w:t>
            </w:r>
            <w:r>
              <w:rPr>
                <w:rFonts w:ascii="宋体" w:hAnsi="宋体"/>
                <w:sz w:val="18"/>
              </w:rPr>
              <w:t>-15</w:t>
            </w:r>
          </w:p>
        </w:tc>
        <w:tc>
          <w:tcPr>
            <w:tcW w:w="1702" w:type="dxa"/>
            <w:vMerge w:val="restart"/>
            <w:vAlign w:val="center"/>
          </w:tcPr>
          <w:p>
            <w:pPr>
              <w:spacing w:line="240" w:lineRule="exact"/>
              <w:jc w:val="center"/>
              <w:rPr>
                <w:rFonts w:ascii="宋体" w:hAnsi="宋体"/>
                <w:sz w:val="18"/>
              </w:rPr>
            </w:pPr>
          </w:p>
        </w:tc>
        <w:tc>
          <w:tcPr>
            <w:tcW w:w="1702" w:type="dxa"/>
            <w:vMerge w:val="restart"/>
            <w:vAlign w:val="center"/>
          </w:tcPr>
          <w:p>
            <w:pPr>
              <w:spacing w:line="240" w:lineRule="exact"/>
              <w:jc w:val="center"/>
              <w:rPr>
                <w:rFonts w:ascii="宋体" w:hAnsi="宋体"/>
                <w:sz w:val="18"/>
              </w:rPr>
            </w:pPr>
          </w:p>
        </w:tc>
        <w:tc>
          <w:tcPr>
            <w:tcW w:w="1649" w:type="dxa"/>
            <w:vMerge w:val="restart"/>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服务方案比较完整，服务内容及措施较为细致、较有针对性、可操作性一般，基本能够实现项目需求（5</w:t>
            </w:r>
            <w:r>
              <w:rPr>
                <w:rFonts w:ascii="宋体" w:hAnsi="宋体"/>
                <w:sz w:val="18"/>
              </w:rPr>
              <w:t>-</w:t>
            </w:r>
            <w:r>
              <w:rPr>
                <w:rFonts w:hint="eastAsia" w:ascii="宋体" w:hAnsi="宋体"/>
                <w:sz w:val="18"/>
              </w:rPr>
              <w:t>9）；</w:t>
            </w:r>
          </w:p>
        </w:tc>
        <w:tc>
          <w:tcPr>
            <w:tcW w:w="705" w:type="dxa"/>
            <w:vMerge w:val="continue"/>
            <w:shd w:val="clear" w:color="auto" w:fill="auto"/>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649" w:type="dxa"/>
            <w:vMerge w:val="continue"/>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服务方案内容及措施一般，细致程度、针对性、操作性欠佳（0-4）。</w:t>
            </w:r>
          </w:p>
        </w:tc>
        <w:tc>
          <w:tcPr>
            <w:tcW w:w="705" w:type="dxa"/>
            <w:vMerge w:val="continue"/>
            <w:shd w:val="clear" w:color="auto" w:fill="auto"/>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649" w:type="dxa"/>
            <w:vMerge w:val="continue"/>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restart"/>
            <w:shd w:val="clear" w:color="auto" w:fill="auto"/>
            <w:vAlign w:val="center"/>
          </w:tcPr>
          <w:p>
            <w:pPr>
              <w:snapToGrid w:val="0"/>
              <w:spacing w:line="240" w:lineRule="exact"/>
              <w:rPr>
                <w:rFonts w:hint="eastAsia" w:ascii="宋体" w:hAnsi="宋体" w:eastAsiaTheme="minorEastAsia"/>
                <w:sz w:val="18"/>
                <w:lang w:eastAsia="zh-CN"/>
              </w:rPr>
            </w:pPr>
            <w:r>
              <w:rPr>
                <w:rFonts w:hint="eastAsia" w:ascii="宋体" w:hAnsi="宋体" w:cs="宋体"/>
                <w:kern w:val="0"/>
                <w:sz w:val="18"/>
                <w:lang w:eastAsia="zh-CN"/>
              </w:rPr>
              <w:t>乐器及汇报演出</w:t>
            </w:r>
            <w:r>
              <w:rPr>
                <w:rFonts w:hint="eastAsia" w:ascii="宋体" w:hAnsi="宋体"/>
                <w:sz w:val="18"/>
                <w:lang w:eastAsia="zh-CN"/>
              </w:rPr>
              <w:t>保障情况</w:t>
            </w:r>
          </w:p>
        </w:tc>
        <w:tc>
          <w:tcPr>
            <w:tcW w:w="576" w:type="dxa"/>
            <w:vMerge w:val="restart"/>
            <w:shd w:val="clear" w:color="auto" w:fill="auto"/>
            <w:vAlign w:val="center"/>
          </w:tcPr>
          <w:p>
            <w:pPr>
              <w:snapToGrid w:val="0"/>
              <w:spacing w:line="240" w:lineRule="exact"/>
              <w:jc w:val="center"/>
              <w:rPr>
                <w:rFonts w:ascii="宋体" w:hAnsi="宋体"/>
                <w:sz w:val="18"/>
              </w:rPr>
            </w:pPr>
            <w:r>
              <w:rPr>
                <w:rFonts w:ascii="宋体" w:hAnsi="宋体"/>
                <w:sz w:val="18"/>
              </w:rPr>
              <w:t>15</w:t>
            </w: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lang w:eastAsia="zh-CN"/>
              </w:rPr>
              <w:t>乐器及汇报演出保障</w:t>
            </w:r>
            <w:r>
              <w:rPr>
                <w:rFonts w:hint="eastAsia" w:ascii="宋体" w:hAnsi="宋体" w:cs="宋体"/>
                <w:kern w:val="0"/>
                <w:sz w:val="18"/>
              </w:rPr>
              <w:t>实施</w:t>
            </w:r>
            <w:r>
              <w:rPr>
                <w:rFonts w:ascii="宋体" w:hAnsi="宋体" w:cs="宋体"/>
                <w:kern w:val="0"/>
                <w:sz w:val="18"/>
              </w:rPr>
              <w:t>计划</w:t>
            </w:r>
            <w:r>
              <w:rPr>
                <w:rFonts w:hint="eastAsia" w:ascii="宋体" w:hAnsi="宋体" w:cs="宋体"/>
                <w:kern w:val="0"/>
                <w:sz w:val="18"/>
              </w:rPr>
              <w:t>科学</w:t>
            </w:r>
            <w:r>
              <w:rPr>
                <w:rFonts w:ascii="宋体" w:hAnsi="宋体" w:cs="宋体"/>
                <w:kern w:val="0"/>
                <w:sz w:val="18"/>
              </w:rPr>
              <w:t>合理，满足要求</w:t>
            </w:r>
            <w:r>
              <w:rPr>
                <w:rFonts w:hint="eastAsia" w:ascii="宋体" w:hAnsi="宋体" w:cs="宋体"/>
                <w:kern w:val="0"/>
                <w:sz w:val="18"/>
              </w:rPr>
              <w:t>（10</w:t>
            </w:r>
            <w:r>
              <w:rPr>
                <w:rFonts w:ascii="宋体" w:hAnsi="宋体" w:cs="宋体"/>
                <w:kern w:val="0"/>
                <w:sz w:val="18"/>
              </w:rPr>
              <w:t>-15</w:t>
            </w:r>
            <w:r>
              <w:rPr>
                <w:rFonts w:hint="eastAsia" w:ascii="宋体" w:hAnsi="宋体" w:cs="宋体"/>
                <w:kern w:val="0"/>
                <w:sz w:val="18"/>
              </w:rPr>
              <w:t>）；</w:t>
            </w:r>
          </w:p>
        </w:tc>
        <w:tc>
          <w:tcPr>
            <w:tcW w:w="705" w:type="dxa"/>
            <w:vMerge w:val="restart"/>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-15</w:t>
            </w:r>
          </w:p>
        </w:tc>
        <w:tc>
          <w:tcPr>
            <w:tcW w:w="1702" w:type="dxa"/>
            <w:vMerge w:val="restart"/>
            <w:vAlign w:val="center"/>
          </w:tcPr>
          <w:p>
            <w:pPr>
              <w:spacing w:line="240" w:lineRule="exact"/>
              <w:jc w:val="center"/>
              <w:rPr>
                <w:rFonts w:ascii="宋体" w:hAnsi="宋体" w:cs="宋体"/>
                <w:kern w:val="0"/>
                <w:sz w:val="18"/>
              </w:rPr>
            </w:pPr>
          </w:p>
        </w:tc>
        <w:tc>
          <w:tcPr>
            <w:tcW w:w="1702" w:type="dxa"/>
            <w:vMerge w:val="restart"/>
            <w:vAlign w:val="center"/>
          </w:tcPr>
          <w:p>
            <w:pPr>
              <w:spacing w:line="240" w:lineRule="exact"/>
              <w:jc w:val="center"/>
              <w:rPr>
                <w:rFonts w:ascii="宋体" w:hAnsi="宋体" w:cs="宋体"/>
                <w:kern w:val="0"/>
                <w:sz w:val="18"/>
              </w:rPr>
            </w:pPr>
          </w:p>
        </w:tc>
        <w:tc>
          <w:tcPr>
            <w:tcW w:w="1649" w:type="dxa"/>
            <w:vMerge w:val="restart"/>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cs="宋体"/>
                <w:kern w:val="0"/>
                <w:sz w:val="18"/>
              </w:rPr>
            </w:pPr>
          </w:p>
        </w:tc>
        <w:tc>
          <w:tcPr>
            <w:tcW w:w="576" w:type="dxa"/>
            <w:vMerge w:val="continue"/>
            <w:shd w:val="clear" w:color="auto" w:fill="auto"/>
            <w:vAlign w:val="center"/>
          </w:tcPr>
          <w:p>
            <w:pPr>
              <w:spacing w:line="240" w:lineRule="exact"/>
              <w:jc w:val="center"/>
              <w:rPr>
                <w:rFonts w:ascii="宋体" w:hAnsi="宋体" w:cs="宋体"/>
                <w:kern w:val="0"/>
                <w:sz w:val="18"/>
              </w:rPr>
            </w:pP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lang w:eastAsia="zh-CN"/>
              </w:rPr>
              <w:t>乐器及汇报演出保障</w:t>
            </w:r>
            <w:r>
              <w:rPr>
                <w:rFonts w:hint="eastAsia" w:ascii="宋体" w:hAnsi="宋体" w:cs="宋体"/>
                <w:kern w:val="0"/>
                <w:sz w:val="18"/>
              </w:rPr>
              <w:t>实施</w:t>
            </w:r>
            <w:r>
              <w:rPr>
                <w:rFonts w:ascii="宋体" w:hAnsi="宋体" w:cs="宋体"/>
                <w:kern w:val="0"/>
                <w:sz w:val="18"/>
              </w:rPr>
              <w:t>计划</w:t>
            </w:r>
            <w:r>
              <w:rPr>
                <w:rFonts w:hint="eastAsia" w:ascii="宋体" w:hAnsi="宋体" w:cs="宋体"/>
                <w:kern w:val="0"/>
                <w:sz w:val="18"/>
              </w:rPr>
              <w:t>较为</w:t>
            </w:r>
            <w:r>
              <w:rPr>
                <w:rFonts w:ascii="宋体" w:hAnsi="宋体" w:cs="宋体"/>
                <w:kern w:val="0"/>
                <w:sz w:val="18"/>
              </w:rPr>
              <w:t>合理，</w:t>
            </w:r>
            <w:r>
              <w:rPr>
                <w:rFonts w:hint="eastAsia" w:ascii="宋体" w:hAnsi="宋体" w:cs="宋体"/>
                <w:kern w:val="0"/>
                <w:sz w:val="18"/>
              </w:rPr>
              <w:t>基本</w:t>
            </w:r>
            <w:r>
              <w:rPr>
                <w:rFonts w:ascii="宋体" w:hAnsi="宋体" w:cs="宋体"/>
                <w:kern w:val="0"/>
                <w:sz w:val="18"/>
              </w:rPr>
              <w:t>满足要求</w:t>
            </w:r>
            <w:r>
              <w:rPr>
                <w:rFonts w:hint="eastAsia" w:ascii="宋体" w:hAnsi="宋体" w:cs="宋体"/>
                <w:kern w:val="0"/>
                <w:sz w:val="18"/>
              </w:rPr>
              <w:t>（5</w:t>
            </w:r>
            <w:r>
              <w:rPr>
                <w:rFonts w:ascii="宋体" w:hAnsi="宋体" w:cs="宋体"/>
                <w:kern w:val="0"/>
                <w:sz w:val="18"/>
              </w:rPr>
              <w:t>-</w:t>
            </w:r>
            <w:r>
              <w:rPr>
                <w:rFonts w:hint="eastAsia" w:ascii="宋体" w:hAnsi="宋体" w:cs="宋体"/>
                <w:kern w:val="0"/>
                <w:sz w:val="18"/>
              </w:rPr>
              <w:t>9）；</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1702" w:type="dxa"/>
            <w:vMerge w:val="continue"/>
            <w:vAlign w:val="center"/>
          </w:tcPr>
          <w:p>
            <w:pPr>
              <w:spacing w:line="240" w:lineRule="exact"/>
              <w:jc w:val="center"/>
              <w:rPr>
                <w:rFonts w:ascii="宋体" w:hAnsi="宋体" w:cs="宋体"/>
                <w:kern w:val="0"/>
                <w:sz w:val="18"/>
              </w:rPr>
            </w:pPr>
          </w:p>
        </w:tc>
        <w:tc>
          <w:tcPr>
            <w:tcW w:w="1702" w:type="dxa"/>
            <w:vMerge w:val="continue"/>
            <w:vAlign w:val="center"/>
          </w:tcPr>
          <w:p>
            <w:pPr>
              <w:spacing w:line="240" w:lineRule="exact"/>
              <w:jc w:val="center"/>
              <w:rPr>
                <w:rFonts w:ascii="宋体" w:hAnsi="宋体" w:cs="宋体"/>
                <w:kern w:val="0"/>
                <w:sz w:val="18"/>
              </w:rPr>
            </w:pPr>
          </w:p>
        </w:tc>
        <w:tc>
          <w:tcPr>
            <w:tcW w:w="1649"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cs="宋体"/>
                <w:kern w:val="0"/>
                <w:sz w:val="18"/>
              </w:rPr>
            </w:pPr>
          </w:p>
        </w:tc>
        <w:tc>
          <w:tcPr>
            <w:tcW w:w="576" w:type="dxa"/>
            <w:vMerge w:val="continue"/>
            <w:shd w:val="clear" w:color="auto" w:fill="auto"/>
            <w:vAlign w:val="center"/>
          </w:tcPr>
          <w:p>
            <w:pPr>
              <w:spacing w:line="240" w:lineRule="exact"/>
              <w:jc w:val="center"/>
              <w:rPr>
                <w:rFonts w:ascii="宋体" w:hAnsi="宋体" w:cs="宋体"/>
                <w:kern w:val="0"/>
                <w:sz w:val="18"/>
              </w:rPr>
            </w:pP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lang w:eastAsia="zh-CN"/>
              </w:rPr>
              <w:t>乐器及汇报演出保障</w:t>
            </w:r>
            <w:r>
              <w:rPr>
                <w:rFonts w:hint="eastAsia" w:ascii="宋体" w:hAnsi="宋体" w:cs="宋体"/>
                <w:kern w:val="0"/>
                <w:sz w:val="18"/>
              </w:rPr>
              <w:t>实施</w:t>
            </w:r>
            <w:r>
              <w:rPr>
                <w:rFonts w:ascii="宋体" w:hAnsi="宋体" w:cs="宋体"/>
                <w:kern w:val="0"/>
                <w:sz w:val="18"/>
              </w:rPr>
              <w:t>计划</w:t>
            </w:r>
            <w:r>
              <w:rPr>
                <w:rFonts w:hint="eastAsia" w:ascii="宋体" w:hAnsi="宋体" w:cs="宋体"/>
                <w:kern w:val="0"/>
                <w:sz w:val="18"/>
              </w:rPr>
              <w:t>不太</w:t>
            </w:r>
            <w:r>
              <w:rPr>
                <w:rFonts w:ascii="宋体" w:hAnsi="宋体" w:cs="宋体"/>
                <w:kern w:val="0"/>
                <w:sz w:val="18"/>
              </w:rPr>
              <w:t>合理，</w:t>
            </w:r>
            <w:r>
              <w:rPr>
                <w:rFonts w:hint="eastAsia" w:ascii="宋体" w:hAnsi="宋体" w:cs="宋体"/>
                <w:kern w:val="0"/>
                <w:sz w:val="18"/>
              </w:rPr>
              <w:t>不能</w:t>
            </w:r>
            <w:r>
              <w:rPr>
                <w:rFonts w:ascii="宋体" w:hAnsi="宋体" w:cs="宋体"/>
                <w:kern w:val="0"/>
                <w:sz w:val="18"/>
              </w:rPr>
              <w:t>满足要求</w:t>
            </w:r>
            <w:r>
              <w:rPr>
                <w:rFonts w:hint="eastAsia" w:ascii="宋体" w:hAnsi="宋体" w:cs="宋体"/>
                <w:kern w:val="0"/>
                <w:sz w:val="18"/>
              </w:rPr>
              <w:t>（0-4）。</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1702" w:type="dxa"/>
            <w:vMerge w:val="continue"/>
            <w:vAlign w:val="center"/>
          </w:tcPr>
          <w:p>
            <w:pPr>
              <w:spacing w:line="240" w:lineRule="exact"/>
              <w:jc w:val="center"/>
              <w:rPr>
                <w:rFonts w:ascii="宋体" w:hAnsi="宋体" w:cs="宋体"/>
                <w:kern w:val="0"/>
                <w:sz w:val="18"/>
              </w:rPr>
            </w:pPr>
          </w:p>
        </w:tc>
        <w:tc>
          <w:tcPr>
            <w:tcW w:w="1702" w:type="dxa"/>
            <w:vMerge w:val="continue"/>
            <w:vAlign w:val="center"/>
          </w:tcPr>
          <w:p>
            <w:pPr>
              <w:spacing w:line="240" w:lineRule="exact"/>
              <w:jc w:val="center"/>
              <w:rPr>
                <w:rFonts w:ascii="宋体" w:hAnsi="宋体" w:cs="宋体"/>
                <w:kern w:val="0"/>
                <w:sz w:val="18"/>
              </w:rPr>
            </w:pPr>
          </w:p>
        </w:tc>
        <w:tc>
          <w:tcPr>
            <w:tcW w:w="1649"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restart"/>
            <w:shd w:val="clear" w:color="auto" w:fill="auto"/>
            <w:vAlign w:val="center"/>
          </w:tcPr>
          <w:p>
            <w:pPr>
              <w:spacing w:line="240" w:lineRule="exact"/>
              <w:rPr>
                <w:rFonts w:ascii="宋体" w:hAnsi="宋体" w:cs="宋体"/>
                <w:kern w:val="0"/>
                <w:sz w:val="18"/>
              </w:rPr>
            </w:pPr>
            <w:r>
              <w:rPr>
                <w:rFonts w:hint="eastAsia" w:ascii="宋体" w:hAnsi="宋体"/>
                <w:sz w:val="18"/>
              </w:rPr>
              <w:t>人员组织</w:t>
            </w:r>
          </w:p>
        </w:tc>
        <w:tc>
          <w:tcPr>
            <w:tcW w:w="576" w:type="dxa"/>
            <w:vMerge w:val="restart"/>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15</w:t>
            </w: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项目参与人员安排稳定，分工合理，</w:t>
            </w:r>
            <w:r>
              <w:rPr>
                <w:rFonts w:hint="eastAsia" w:ascii="宋体" w:hAnsi="宋体" w:cs="宋体"/>
                <w:kern w:val="0"/>
                <w:sz w:val="18"/>
                <w:lang w:eastAsia="zh-CN"/>
              </w:rPr>
              <w:t>培训师资及管理人员</w:t>
            </w:r>
            <w:r>
              <w:rPr>
                <w:rFonts w:hint="eastAsia" w:ascii="宋体" w:hAnsi="宋体"/>
                <w:color w:val="000000"/>
                <w:sz w:val="18"/>
              </w:rPr>
              <w:t>具有充分的相关经验</w:t>
            </w:r>
            <w:r>
              <w:rPr>
                <w:rFonts w:hint="eastAsia" w:ascii="宋体" w:hAnsi="宋体" w:cs="宋体"/>
                <w:kern w:val="0"/>
                <w:sz w:val="18"/>
              </w:rPr>
              <w:t>，相关专业和资质齐全（7</w:t>
            </w:r>
            <w:r>
              <w:rPr>
                <w:rFonts w:ascii="宋体" w:hAnsi="宋体" w:cs="宋体"/>
                <w:kern w:val="0"/>
                <w:sz w:val="18"/>
              </w:rPr>
              <w:t>-</w:t>
            </w:r>
            <w:r>
              <w:rPr>
                <w:rFonts w:hint="eastAsia" w:ascii="宋体" w:hAnsi="宋体" w:cs="宋体"/>
                <w:kern w:val="0"/>
                <w:sz w:val="18"/>
              </w:rPr>
              <w:t>15）；</w:t>
            </w:r>
          </w:p>
        </w:tc>
        <w:tc>
          <w:tcPr>
            <w:tcW w:w="705" w:type="dxa"/>
            <w:vMerge w:val="restart"/>
            <w:shd w:val="clear" w:color="auto" w:fill="auto"/>
            <w:vAlign w:val="center"/>
          </w:tcPr>
          <w:p>
            <w:pPr>
              <w:spacing w:line="240" w:lineRule="exact"/>
              <w:jc w:val="center"/>
              <w:rPr>
                <w:rFonts w:ascii="宋体" w:hAnsi="宋体" w:cs="宋体"/>
                <w:kern w:val="0"/>
                <w:sz w:val="18"/>
              </w:rPr>
            </w:pPr>
            <w:r>
              <w:rPr>
                <w:rFonts w:ascii="宋体" w:hAnsi="宋体" w:cs="宋体"/>
                <w:kern w:val="0"/>
                <w:sz w:val="18"/>
              </w:rPr>
              <w:t>0-</w:t>
            </w:r>
            <w:r>
              <w:rPr>
                <w:rFonts w:hint="eastAsia" w:ascii="宋体" w:hAnsi="宋体" w:cs="宋体"/>
                <w:kern w:val="0"/>
                <w:sz w:val="18"/>
              </w:rPr>
              <w:t>15</w:t>
            </w:r>
          </w:p>
        </w:tc>
        <w:tc>
          <w:tcPr>
            <w:tcW w:w="1702" w:type="dxa"/>
            <w:vMerge w:val="restart"/>
            <w:vAlign w:val="center"/>
          </w:tcPr>
          <w:p>
            <w:pPr>
              <w:spacing w:line="240" w:lineRule="exact"/>
              <w:jc w:val="center"/>
              <w:rPr>
                <w:rFonts w:ascii="宋体" w:hAnsi="宋体" w:cs="宋体"/>
                <w:kern w:val="0"/>
                <w:sz w:val="18"/>
              </w:rPr>
            </w:pPr>
          </w:p>
        </w:tc>
        <w:tc>
          <w:tcPr>
            <w:tcW w:w="1702" w:type="dxa"/>
            <w:vMerge w:val="restart"/>
            <w:vAlign w:val="center"/>
          </w:tcPr>
          <w:p>
            <w:pPr>
              <w:spacing w:line="240" w:lineRule="exact"/>
              <w:jc w:val="center"/>
              <w:rPr>
                <w:rFonts w:ascii="宋体" w:hAnsi="宋体" w:cs="宋体"/>
                <w:kern w:val="0"/>
                <w:sz w:val="18"/>
              </w:rPr>
            </w:pPr>
          </w:p>
        </w:tc>
        <w:tc>
          <w:tcPr>
            <w:tcW w:w="1649" w:type="dxa"/>
            <w:vMerge w:val="restart"/>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cs="宋体"/>
                <w:kern w:val="0"/>
                <w:sz w:val="18"/>
              </w:rPr>
            </w:pPr>
          </w:p>
        </w:tc>
        <w:tc>
          <w:tcPr>
            <w:tcW w:w="576" w:type="dxa"/>
            <w:vMerge w:val="continue"/>
            <w:shd w:val="clear" w:color="auto" w:fill="auto"/>
            <w:vAlign w:val="center"/>
          </w:tcPr>
          <w:p>
            <w:pPr>
              <w:spacing w:line="240" w:lineRule="exact"/>
              <w:jc w:val="center"/>
              <w:rPr>
                <w:rFonts w:ascii="宋体" w:hAnsi="宋体" w:cs="宋体"/>
                <w:kern w:val="0"/>
                <w:sz w:val="18"/>
              </w:rPr>
            </w:pP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项目参与人员安排较为合理，</w:t>
            </w:r>
            <w:r>
              <w:rPr>
                <w:rFonts w:hint="eastAsia" w:ascii="宋体" w:hAnsi="宋体" w:cs="宋体"/>
                <w:kern w:val="0"/>
                <w:sz w:val="18"/>
                <w:lang w:eastAsia="zh-CN"/>
              </w:rPr>
              <w:t>培训师资及管理人员</w:t>
            </w:r>
            <w:r>
              <w:rPr>
                <w:rFonts w:hint="eastAsia" w:ascii="宋体" w:hAnsi="宋体"/>
                <w:color w:val="000000"/>
                <w:sz w:val="18"/>
              </w:rPr>
              <w:t>经验一般</w:t>
            </w:r>
            <w:r>
              <w:rPr>
                <w:rFonts w:hint="eastAsia" w:ascii="宋体" w:hAnsi="宋体" w:cs="宋体"/>
                <w:kern w:val="0"/>
                <w:sz w:val="18"/>
              </w:rPr>
              <w:t>，相关专业和资质基本齐全（1</w:t>
            </w:r>
            <w:r>
              <w:rPr>
                <w:rFonts w:ascii="宋体" w:hAnsi="宋体" w:cs="宋体"/>
                <w:kern w:val="0"/>
                <w:sz w:val="18"/>
              </w:rPr>
              <w:t>-</w:t>
            </w:r>
            <w:r>
              <w:rPr>
                <w:rFonts w:hint="eastAsia" w:ascii="宋体" w:hAnsi="宋体" w:cs="宋体"/>
                <w:kern w:val="0"/>
                <w:sz w:val="18"/>
              </w:rPr>
              <w:t>6）；</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1702" w:type="dxa"/>
            <w:vMerge w:val="continue"/>
            <w:vAlign w:val="center"/>
          </w:tcPr>
          <w:p>
            <w:pPr>
              <w:spacing w:line="240" w:lineRule="exact"/>
              <w:jc w:val="center"/>
              <w:rPr>
                <w:rFonts w:ascii="宋体" w:hAnsi="宋体" w:cs="宋体"/>
                <w:kern w:val="0"/>
                <w:sz w:val="18"/>
              </w:rPr>
            </w:pPr>
          </w:p>
        </w:tc>
        <w:tc>
          <w:tcPr>
            <w:tcW w:w="1702" w:type="dxa"/>
            <w:vMerge w:val="continue"/>
            <w:vAlign w:val="center"/>
          </w:tcPr>
          <w:p>
            <w:pPr>
              <w:spacing w:line="240" w:lineRule="exact"/>
              <w:jc w:val="center"/>
              <w:rPr>
                <w:rFonts w:ascii="宋体" w:hAnsi="宋体" w:cs="宋体"/>
                <w:kern w:val="0"/>
                <w:sz w:val="18"/>
              </w:rPr>
            </w:pPr>
          </w:p>
        </w:tc>
        <w:tc>
          <w:tcPr>
            <w:tcW w:w="1649"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restart"/>
            <w:shd w:val="clear" w:color="auto" w:fill="auto"/>
            <w:vAlign w:val="center"/>
          </w:tcPr>
          <w:p>
            <w:pPr>
              <w:spacing w:line="240" w:lineRule="exact"/>
              <w:rPr>
                <w:rFonts w:ascii="宋体" w:hAnsi="宋体"/>
                <w:sz w:val="18"/>
              </w:rPr>
            </w:pPr>
            <w:r>
              <w:rPr>
                <w:rFonts w:hint="eastAsia" w:ascii="宋体" w:hAnsi="宋体"/>
                <w:sz w:val="18"/>
              </w:rPr>
              <w:t>质量保证和服务承诺</w:t>
            </w:r>
          </w:p>
        </w:tc>
        <w:tc>
          <w:tcPr>
            <w:tcW w:w="576" w:type="dxa"/>
            <w:vMerge w:val="restart"/>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1</w:t>
            </w:r>
            <w:r>
              <w:rPr>
                <w:rFonts w:ascii="宋体" w:hAnsi="宋体" w:cs="宋体"/>
                <w:kern w:val="0"/>
                <w:sz w:val="18"/>
              </w:rPr>
              <w:t>0</w:t>
            </w: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w:t>
            </w:r>
            <w:r>
              <w:rPr>
                <w:rFonts w:hint="eastAsia" w:ascii="宋体" w:hAnsi="宋体" w:cs="宋体"/>
                <w:kern w:val="0"/>
                <w:sz w:val="18"/>
                <w:lang w:eastAsia="zh-CN"/>
              </w:rPr>
              <w:t>质量</w:t>
            </w:r>
            <w:r>
              <w:rPr>
                <w:rFonts w:hint="eastAsia" w:ascii="宋体" w:hAnsi="宋体" w:cs="宋体"/>
                <w:kern w:val="0"/>
                <w:sz w:val="18"/>
              </w:rPr>
              <w:t>分解、规划合理，有售后服务承诺，工作方法规范，质量控制手段完善，</w:t>
            </w:r>
            <w:r>
              <w:rPr>
                <w:rFonts w:hint="eastAsia" w:ascii="宋体" w:hAnsi="宋体" w:cs="宋体"/>
                <w:kern w:val="0"/>
                <w:sz w:val="18"/>
                <w:lang w:eastAsia="zh-CN"/>
              </w:rPr>
              <w:t>有</w:t>
            </w:r>
            <w:r>
              <w:rPr>
                <w:rFonts w:hint="eastAsia" w:ascii="宋体" w:hAnsi="宋体" w:cs="宋体"/>
                <w:kern w:val="0"/>
                <w:sz w:val="18"/>
              </w:rPr>
              <w:t>管理制度和安全预案</w:t>
            </w:r>
            <w:r>
              <w:rPr>
                <w:rFonts w:hint="eastAsia" w:ascii="宋体" w:hAnsi="宋体" w:cs="宋体"/>
                <w:kern w:val="0"/>
                <w:sz w:val="18"/>
                <w:lang w:eastAsia="zh-CN"/>
              </w:rPr>
              <w:t>，</w:t>
            </w:r>
            <w:r>
              <w:rPr>
                <w:rFonts w:hint="eastAsia" w:ascii="宋体" w:hAnsi="宋体" w:cs="宋体"/>
                <w:kern w:val="0"/>
                <w:sz w:val="18"/>
              </w:rPr>
              <w:t>针对性、可行性强（7</w:t>
            </w:r>
            <w:r>
              <w:rPr>
                <w:rFonts w:ascii="宋体" w:hAnsi="宋体" w:cs="宋体"/>
                <w:kern w:val="0"/>
                <w:sz w:val="18"/>
              </w:rPr>
              <w:t>-10</w:t>
            </w:r>
            <w:r>
              <w:rPr>
                <w:rFonts w:hint="eastAsia" w:ascii="宋体" w:hAnsi="宋体" w:cs="宋体"/>
                <w:kern w:val="0"/>
                <w:sz w:val="18"/>
              </w:rPr>
              <w:t>）；</w:t>
            </w:r>
          </w:p>
        </w:tc>
        <w:tc>
          <w:tcPr>
            <w:tcW w:w="705" w:type="dxa"/>
            <w:vMerge w:val="restart"/>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-10</w:t>
            </w:r>
          </w:p>
        </w:tc>
        <w:tc>
          <w:tcPr>
            <w:tcW w:w="1702" w:type="dxa"/>
            <w:vMerge w:val="restart"/>
            <w:vAlign w:val="center"/>
          </w:tcPr>
          <w:p>
            <w:pPr>
              <w:spacing w:line="240" w:lineRule="exact"/>
              <w:jc w:val="center"/>
              <w:rPr>
                <w:rFonts w:ascii="宋体" w:hAnsi="宋体" w:cs="宋体"/>
                <w:kern w:val="0"/>
                <w:sz w:val="18"/>
              </w:rPr>
            </w:pPr>
          </w:p>
        </w:tc>
        <w:tc>
          <w:tcPr>
            <w:tcW w:w="1702" w:type="dxa"/>
            <w:vMerge w:val="restart"/>
            <w:vAlign w:val="center"/>
          </w:tcPr>
          <w:p>
            <w:pPr>
              <w:spacing w:line="240" w:lineRule="exact"/>
              <w:jc w:val="center"/>
              <w:rPr>
                <w:rFonts w:ascii="宋体" w:hAnsi="宋体" w:cs="宋体"/>
                <w:kern w:val="0"/>
                <w:sz w:val="18"/>
              </w:rPr>
            </w:pPr>
          </w:p>
        </w:tc>
        <w:tc>
          <w:tcPr>
            <w:tcW w:w="1649" w:type="dxa"/>
            <w:vMerge w:val="restart"/>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tcPr>
          <w:p>
            <w:pPr>
              <w:spacing w:line="240" w:lineRule="exact"/>
              <w:rPr>
                <w:rFonts w:ascii="宋体" w:hAnsi="宋体" w:cs="宋体"/>
                <w:kern w:val="0"/>
                <w:sz w:val="18"/>
              </w:rPr>
            </w:pPr>
          </w:p>
        </w:tc>
        <w:tc>
          <w:tcPr>
            <w:tcW w:w="576" w:type="dxa"/>
            <w:vMerge w:val="continue"/>
            <w:shd w:val="clear" w:color="auto" w:fill="auto"/>
          </w:tcPr>
          <w:p>
            <w:pPr>
              <w:spacing w:line="240" w:lineRule="exact"/>
              <w:rPr>
                <w:rFonts w:ascii="宋体" w:hAnsi="宋体" w:cs="宋体"/>
                <w:kern w:val="0"/>
                <w:sz w:val="18"/>
              </w:rPr>
            </w:pP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项目质量满足工作要求，工作方法较为合理，质量保障措施一般（1</w:t>
            </w:r>
            <w:r>
              <w:rPr>
                <w:rFonts w:ascii="宋体" w:hAnsi="宋体" w:cs="宋体"/>
                <w:kern w:val="0"/>
                <w:sz w:val="18"/>
              </w:rPr>
              <w:t>-</w:t>
            </w:r>
            <w:r>
              <w:rPr>
                <w:rFonts w:hint="eastAsia" w:ascii="宋体" w:hAnsi="宋体" w:cs="宋体"/>
                <w:kern w:val="0"/>
                <w:sz w:val="18"/>
              </w:rPr>
              <w:t>6）；</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1702" w:type="dxa"/>
            <w:vMerge w:val="continue"/>
            <w:vAlign w:val="center"/>
          </w:tcPr>
          <w:p>
            <w:pPr>
              <w:spacing w:line="240" w:lineRule="exact"/>
              <w:jc w:val="center"/>
              <w:rPr>
                <w:rFonts w:ascii="宋体" w:hAnsi="宋体" w:cs="宋体"/>
                <w:kern w:val="0"/>
                <w:sz w:val="18"/>
              </w:rPr>
            </w:pPr>
          </w:p>
        </w:tc>
        <w:tc>
          <w:tcPr>
            <w:tcW w:w="1702" w:type="dxa"/>
            <w:vMerge w:val="continue"/>
            <w:vAlign w:val="center"/>
          </w:tcPr>
          <w:p>
            <w:pPr>
              <w:spacing w:line="240" w:lineRule="exact"/>
              <w:jc w:val="center"/>
              <w:rPr>
                <w:rFonts w:ascii="宋体" w:hAnsi="宋体" w:cs="宋体"/>
                <w:kern w:val="0"/>
                <w:sz w:val="18"/>
              </w:rPr>
            </w:pPr>
          </w:p>
        </w:tc>
        <w:tc>
          <w:tcPr>
            <w:tcW w:w="1649"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3</w:t>
            </w:r>
          </w:p>
        </w:tc>
        <w:tc>
          <w:tcPr>
            <w:tcW w:w="840"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响应报价（10分）</w:t>
            </w:r>
          </w:p>
        </w:tc>
        <w:tc>
          <w:tcPr>
            <w:tcW w:w="7023" w:type="dxa"/>
            <w:gridSpan w:val="3"/>
            <w:shd w:val="clear" w:color="auto" w:fill="auto"/>
            <w:vAlign w:val="center"/>
          </w:tcPr>
          <w:p>
            <w:pPr>
              <w:snapToGrid w:val="0"/>
              <w:spacing w:line="240" w:lineRule="exact"/>
              <w:rPr>
                <w:rFonts w:ascii="宋体" w:hAnsi="宋体" w:cs="宋体"/>
                <w:kern w:val="0"/>
                <w:sz w:val="18"/>
              </w:rPr>
            </w:pPr>
            <w:r>
              <w:rPr>
                <w:rFonts w:ascii="宋体" w:hAnsi="宋体"/>
                <w:sz w:val="18"/>
              </w:rPr>
              <w:t>A.</w:t>
            </w:r>
            <w:r>
              <w:rPr>
                <w:rFonts w:hint="eastAsia" w:ascii="宋体" w:hAnsi="宋体"/>
                <w:sz w:val="18"/>
              </w:rPr>
              <w:t>基准标价得分为10分。</w:t>
            </w:r>
            <w:r>
              <w:rPr>
                <w:rFonts w:ascii="宋体" w:hAnsi="宋体"/>
                <w:sz w:val="18"/>
              </w:rPr>
              <w:t>B.</w:t>
            </w:r>
            <w:r>
              <w:rPr>
                <w:rFonts w:hint="eastAsia" w:ascii="宋体" w:hAnsi="宋体"/>
                <w:sz w:val="18"/>
              </w:rPr>
              <w:t>基准价为响应报价的最低价格。</w:t>
            </w:r>
            <w:r>
              <w:rPr>
                <w:rFonts w:ascii="宋体" w:hAnsi="宋体"/>
                <w:sz w:val="18"/>
              </w:rPr>
              <w:t>C.</w:t>
            </w:r>
            <w:r>
              <w:rPr>
                <w:rFonts w:hint="eastAsia" w:ascii="宋体" w:hAnsi="宋体"/>
                <w:sz w:val="18"/>
              </w:rPr>
              <w:t>当响应报价高于基准标价时，价格得分=(基准价/响应报价) X10。</w:t>
            </w:r>
            <w:r>
              <w:rPr>
                <w:rFonts w:ascii="宋体" w:hAnsi="宋体"/>
                <w:sz w:val="18"/>
              </w:rPr>
              <w:t>D.</w:t>
            </w:r>
            <w:r>
              <w:rPr>
                <w:rFonts w:hint="eastAsia" w:ascii="宋体" w:hAnsi="宋体"/>
                <w:sz w:val="18"/>
              </w:rPr>
              <w:t>计算分值精确至小数点后两位。</w:t>
            </w:r>
          </w:p>
        </w:tc>
        <w:tc>
          <w:tcPr>
            <w:tcW w:w="705" w:type="dxa"/>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-10</w:t>
            </w:r>
          </w:p>
        </w:tc>
        <w:tc>
          <w:tcPr>
            <w:tcW w:w="1702" w:type="dxa"/>
            <w:vAlign w:val="center"/>
          </w:tcPr>
          <w:p>
            <w:pPr>
              <w:spacing w:line="240" w:lineRule="exact"/>
              <w:jc w:val="center"/>
              <w:rPr>
                <w:rFonts w:ascii="宋体" w:hAnsi="宋体" w:cs="宋体"/>
                <w:kern w:val="0"/>
                <w:sz w:val="18"/>
              </w:rPr>
            </w:pPr>
          </w:p>
        </w:tc>
        <w:tc>
          <w:tcPr>
            <w:tcW w:w="1702" w:type="dxa"/>
            <w:vAlign w:val="center"/>
          </w:tcPr>
          <w:p>
            <w:pPr>
              <w:spacing w:line="240" w:lineRule="exact"/>
              <w:jc w:val="center"/>
              <w:rPr>
                <w:rFonts w:ascii="宋体" w:hAnsi="宋体" w:cs="宋体"/>
                <w:kern w:val="0"/>
                <w:sz w:val="18"/>
              </w:rPr>
            </w:pPr>
          </w:p>
        </w:tc>
        <w:tc>
          <w:tcPr>
            <w:tcW w:w="1649" w:type="dxa"/>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1" w:hRule="atLeast"/>
        </w:trPr>
        <w:tc>
          <w:tcPr>
            <w:tcW w:w="424"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4</w:t>
            </w:r>
          </w:p>
        </w:tc>
        <w:tc>
          <w:tcPr>
            <w:tcW w:w="840"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得分合计</w:t>
            </w:r>
          </w:p>
        </w:tc>
        <w:tc>
          <w:tcPr>
            <w:tcW w:w="7023" w:type="dxa"/>
            <w:gridSpan w:val="3"/>
            <w:shd w:val="clear" w:color="auto" w:fill="auto"/>
            <w:vAlign w:val="center"/>
          </w:tcPr>
          <w:p>
            <w:pPr>
              <w:spacing w:line="240" w:lineRule="exact"/>
              <w:rPr>
                <w:rFonts w:ascii="宋体" w:hAnsi="宋体" w:cs="宋体"/>
                <w:b/>
                <w:kern w:val="0"/>
                <w:sz w:val="18"/>
              </w:rPr>
            </w:pPr>
          </w:p>
        </w:tc>
        <w:tc>
          <w:tcPr>
            <w:tcW w:w="705" w:type="dxa"/>
            <w:shd w:val="clear" w:color="auto" w:fill="auto"/>
            <w:vAlign w:val="center"/>
          </w:tcPr>
          <w:p>
            <w:pPr>
              <w:spacing w:line="240" w:lineRule="exact"/>
              <w:rPr>
                <w:rFonts w:ascii="宋体" w:hAnsi="宋体" w:cs="宋体"/>
                <w:b/>
                <w:kern w:val="0"/>
                <w:sz w:val="18"/>
              </w:rPr>
            </w:pPr>
          </w:p>
        </w:tc>
        <w:tc>
          <w:tcPr>
            <w:tcW w:w="1702" w:type="dxa"/>
            <w:vAlign w:val="center"/>
          </w:tcPr>
          <w:p>
            <w:pPr>
              <w:spacing w:line="240" w:lineRule="exact"/>
              <w:jc w:val="center"/>
              <w:rPr>
                <w:rFonts w:ascii="宋体" w:hAnsi="宋体" w:cs="宋体"/>
                <w:b/>
                <w:kern w:val="0"/>
                <w:sz w:val="18"/>
              </w:rPr>
            </w:pPr>
          </w:p>
        </w:tc>
        <w:tc>
          <w:tcPr>
            <w:tcW w:w="1702" w:type="dxa"/>
            <w:vAlign w:val="center"/>
          </w:tcPr>
          <w:p>
            <w:pPr>
              <w:spacing w:line="240" w:lineRule="exact"/>
              <w:jc w:val="center"/>
              <w:rPr>
                <w:rFonts w:ascii="宋体" w:hAnsi="宋体" w:cs="宋体"/>
                <w:b/>
                <w:kern w:val="0"/>
                <w:sz w:val="18"/>
              </w:rPr>
            </w:pPr>
          </w:p>
        </w:tc>
        <w:tc>
          <w:tcPr>
            <w:tcW w:w="1649" w:type="dxa"/>
            <w:vAlign w:val="center"/>
          </w:tcPr>
          <w:p>
            <w:pPr>
              <w:spacing w:line="240" w:lineRule="exact"/>
              <w:jc w:val="center"/>
              <w:rPr>
                <w:rFonts w:ascii="宋体" w:hAnsi="宋体" w:cs="宋体"/>
                <w:b/>
                <w:kern w:val="0"/>
                <w:sz w:val="18"/>
              </w:rPr>
            </w:pPr>
          </w:p>
        </w:tc>
      </w:tr>
    </w:tbl>
    <w:p>
      <w:pPr>
        <w:ind w:firstLine="420" w:firstLineChars="200"/>
        <w:rPr>
          <w:rFonts w:ascii="宋体" w:eastAsia="宋体" w:hAnsiTheme="minorEastAsia"/>
        </w:rPr>
      </w:pPr>
      <w:r>
        <w:rPr>
          <w:rFonts w:hint="eastAsia" w:ascii="宋体-18030" w:hAnsi="宋体-18030" w:eastAsia="宋体-18030" w:cs="宋体-18030"/>
          <w:color w:val="000000"/>
          <w:kern w:val="0"/>
          <w:szCs w:val="21"/>
        </w:rPr>
        <w:t>评委签名：</w:t>
      </w:r>
    </w:p>
    <w:sectPr>
      <w:footerReference r:id="rId3" w:type="default"/>
      <w:footerReference r:id="rId4" w:type="even"/>
      <w:pgSz w:w="16838" w:h="11906" w:orient="landscape"/>
      <w:pgMar w:top="568" w:right="1440" w:bottom="993" w:left="1440" w:header="851"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60"/>
      <w:jc w:val="right"/>
    </w:pPr>
    <w:bookmarkStart w:id="0" w:name="_GoBack"/>
    <w:bookmarkEnd w:id="0"/>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98"/>
    <w:rsid w:val="00031CAC"/>
    <w:rsid w:val="000833A7"/>
    <w:rsid w:val="000F1DED"/>
    <w:rsid w:val="001327FE"/>
    <w:rsid w:val="00136678"/>
    <w:rsid w:val="0015451D"/>
    <w:rsid w:val="00191044"/>
    <w:rsid w:val="001A31A8"/>
    <w:rsid w:val="001A7728"/>
    <w:rsid w:val="001D50FE"/>
    <w:rsid w:val="001D6A0A"/>
    <w:rsid w:val="001E11C0"/>
    <w:rsid w:val="001E13B6"/>
    <w:rsid w:val="001E25CD"/>
    <w:rsid w:val="0022363D"/>
    <w:rsid w:val="00232050"/>
    <w:rsid w:val="00232F99"/>
    <w:rsid w:val="00240C43"/>
    <w:rsid w:val="00254244"/>
    <w:rsid w:val="00285A91"/>
    <w:rsid w:val="00287C13"/>
    <w:rsid w:val="002929F8"/>
    <w:rsid w:val="002A43E8"/>
    <w:rsid w:val="002A7AD1"/>
    <w:rsid w:val="002B7AE5"/>
    <w:rsid w:val="002E56E3"/>
    <w:rsid w:val="0030766B"/>
    <w:rsid w:val="00321AAC"/>
    <w:rsid w:val="003464D0"/>
    <w:rsid w:val="00361799"/>
    <w:rsid w:val="00384456"/>
    <w:rsid w:val="003B2381"/>
    <w:rsid w:val="003B3BA7"/>
    <w:rsid w:val="003B3E2D"/>
    <w:rsid w:val="003D0874"/>
    <w:rsid w:val="003D61A9"/>
    <w:rsid w:val="003E76FA"/>
    <w:rsid w:val="004000DF"/>
    <w:rsid w:val="00492266"/>
    <w:rsid w:val="004C16AB"/>
    <w:rsid w:val="00500344"/>
    <w:rsid w:val="005325CC"/>
    <w:rsid w:val="0054637B"/>
    <w:rsid w:val="005739B4"/>
    <w:rsid w:val="005929DB"/>
    <w:rsid w:val="00595425"/>
    <w:rsid w:val="005B51A5"/>
    <w:rsid w:val="005F1E8C"/>
    <w:rsid w:val="005F37A1"/>
    <w:rsid w:val="00603B58"/>
    <w:rsid w:val="00660165"/>
    <w:rsid w:val="0066219F"/>
    <w:rsid w:val="00673896"/>
    <w:rsid w:val="006872EF"/>
    <w:rsid w:val="006925ED"/>
    <w:rsid w:val="006B6CBA"/>
    <w:rsid w:val="006B7224"/>
    <w:rsid w:val="006C67CE"/>
    <w:rsid w:val="006D10C4"/>
    <w:rsid w:val="006D4514"/>
    <w:rsid w:val="006D5DC9"/>
    <w:rsid w:val="00710A8F"/>
    <w:rsid w:val="00717C36"/>
    <w:rsid w:val="0073253A"/>
    <w:rsid w:val="007337F1"/>
    <w:rsid w:val="00744872"/>
    <w:rsid w:val="00753B01"/>
    <w:rsid w:val="00753CA2"/>
    <w:rsid w:val="0075544E"/>
    <w:rsid w:val="007660F2"/>
    <w:rsid w:val="007967A3"/>
    <w:rsid w:val="007D058C"/>
    <w:rsid w:val="007E54FB"/>
    <w:rsid w:val="007E7541"/>
    <w:rsid w:val="007F74DE"/>
    <w:rsid w:val="00823216"/>
    <w:rsid w:val="00827EFC"/>
    <w:rsid w:val="00853621"/>
    <w:rsid w:val="008623BA"/>
    <w:rsid w:val="008776E5"/>
    <w:rsid w:val="008810BC"/>
    <w:rsid w:val="00881ED0"/>
    <w:rsid w:val="008922AC"/>
    <w:rsid w:val="00901916"/>
    <w:rsid w:val="009106B2"/>
    <w:rsid w:val="00936845"/>
    <w:rsid w:val="00962C61"/>
    <w:rsid w:val="00985269"/>
    <w:rsid w:val="009976C4"/>
    <w:rsid w:val="009B108A"/>
    <w:rsid w:val="009E05E3"/>
    <w:rsid w:val="009E0B3B"/>
    <w:rsid w:val="00A101BD"/>
    <w:rsid w:val="00A1206D"/>
    <w:rsid w:val="00A36663"/>
    <w:rsid w:val="00A467DB"/>
    <w:rsid w:val="00AA0931"/>
    <w:rsid w:val="00AE0B2B"/>
    <w:rsid w:val="00AF2AA0"/>
    <w:rsid w:val="00B1328E"/>
    <w:rsid w:val="00B1643C"/>
    <w:rsid w:val="00B23F6E"/>
    <w:rsid w:val="00B33BB0"/>
    <w:rsid w:val="00BA04E8"/>
    <w:rsid w:val="00BA130C"/>
    <w:rsid w:val="00BC37B5"/>
    <w:rsid w:val="00BE0BC4"/>
    <w:rsid w:val="00C10A0B"/>
    <w:rsid w:val="00C177AB"/>
    <w:rsid w:val="00C331F6"/>
    <w:rsid w:val="00C415E6"/>
    <w:rsid w:val="00C82B87"/>
    <w:rsid w:val="00CA371F"/>
    <w:rsid w:val="00CC4521"/>
    <w:rsid w:val="00D038B4"/>
    <w:rsid w:val="00D30C9B"/>
    <w:rsid w:val="00D930CC"/>
    <w:rsid w:val="00DB5878"/>
    <w:rsid w:val="00DD1C41"/>
    <w:rsid w:val="00DF54B9"/>
    <w:rsid w:val="00E11BE3"/>
    <w:rsid w:val="00E13F34"/>
    <w:rsid w:val="00E412F0"/>
    <w:rsid w:val="00E971A6"/>
    <w:rsid w:val="00EA0020"/>
    <w:rsid w:val="00EB323E"/>
    <w:rsid w:val="00EC1C76"/>
    <w:rsid w:val="00EC4B98"/>
    <w:rsid w:val="00EF1E01"/>
    <w:rsid w:val="00F170E3"/>
    <w:rsid w:val="00F21E20"/>
    <w:rsid w:val="00F45090"/>
    <w:rsid w:val="00F50973"/>
    <w:rsid w:val="00F53B68"/>
    <w:rsid w:val="05417EB6"/>
    <w:rsid w:val="5A886C12"/>
    <w:rsid w:val="68D1342C"/>
    <w:rsid w:val="77367D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ody Text Indent 2"/>
    <w:basedOn w:val="1"/>
    <w:link w:val="18"/>
    <w:uiPriority w:val="0"/>
    <w:pPr>
      <w:spacing w:line="360" w:lineRule="auto"/>
      <w:ind w:left="359" w:leftChars="171" w:firstLine="560" w:firstLineChars="200"/>
    </w:pPr>
    <w:rPr>
      <w:rFonts w:ascii="仿宋_GB2312"/>
      <w:bCs/>
      <w:sz w:val="28"/>
      <w:szCs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styleId="10">
    <w:name w:val="Hyperlink"/>
    <w:basedOn w:val="9"/>
    <w:semiHidden/>
    <w:unhideWhenUsed/>
    <w:qFormat/>
    <w:uiPriority w:val="99"/>
    <w:rPr>
      <w:color w:val="404040"/>
      <w:u w:val="none"/>
    </w:rPr>
  </w:style>
  <w:style w:type="character" w:customStyle="1" w:styleId="11">
    <w:name w:val="标题 1 Char"/>
    <w:basedOn w:val="9"/>
    <w:link w:val="2"/>
    <w:uiPriority w:val="9"/>
    <w:rPr>
      <w:rFonts w:ascii="宋体" w:hAnsi="宋体" w:eastAsia="宋体" w:cs="宋体"/>
      <w:b/>
      <w:bCs/>
      <w:kern w:val="36"/>
      <w:sz w:val="24"/>
      <w:szCs w:val="24"/>
    </w:rPr>
  </w:style>
  <w:style w:type="character" w:customStyle="1" w:styleId="12">
    <w:name w:val="f-fr"/>
    <w:basedOn w:val="9"/>
    <w:uiPriority w:val="0"/>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日期 Char"/>
    <w:basedOn w:val="9"/>
    <w:link w:val="3"/>
    <w:semiHidden/>
    <w:qFormat/>
    <w:uiPriority w:val="99"/>
  </w:style>
  <w:style w:type="character" w:customStyle="1" w:styleId="16">
    <w:name w:val="HTML 预设格式 Char"/>
    <w:link w:val="7"/>
    <w:uiPriority w:val="0"/>
    <w:rPr>
      <w:rFonts w:ascii="宋体" w:hAnsi="宋体"/>
      <w:sz w:val="24"/>
    </w:rPr>
  </w:style>
  <w:style w:type="character" w:customStyle="1" w:styleId="17">
    <w:name w:val="HTML 预设格式 Char1"/>
    <w:basedOn w:val="9"/>
    <w:semiHidden/>
    <w:uiPriority w:val="99"/>
    <w:rPr>
      <w:rFonts w:ascii="Courier New" w:hAnsi="Courier New" w:cs="Courier New"/>
      <w:sz w:val="20"/>
      <w:szCs w:val="20"/>
    </w:rPr>
  </w:style>
  <w:style w:type="character" w:customStyle="1" w:styleId="18">
    <w:name w:val="正文文本缩进 2 Char"/>
    <w:link w:val="4"/>
    <w:uiPriority w:val="0"/>
    <w:rPr>
      <w:rFonts w:ascii="仿宋_GB2312"/>
      <w:bCs/>
      <w:sz w:val="28"/>
      <w:szCs w:val="24"/>
    </w:rPr>
  </w:style>
  <w:style w:type="character" w:customStyle="1" w:styleId="19">
    <w:name w:val="正文文本缩进 2 Char1"/>
    <w:basedOn w:val="9"/>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657</Words>
  <Characters>3749</Characters>
  <Lines>31</Lines>
  <Paragraphs>8</Paragraphs>
  <TotalTime>0</TotalTime>
  <ScaleCrop>false</ScaleCrop>
  <LinksUpToDate>false</LinksUpToDate>
  <CharactersWithSpaces>4398</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2018-05-15T08:56:00Z</dcterms:created>
  <dc:creator>王剑</dc:creator>
  <cp:lastModifiedBy>李宁</cp:lastModifiedBy>
  <cp:lastPrinted>2019-05-27T01:23:59Z</cp:lastPrinted>
  <dcterms:modified xsi:type="dcterms:W3CDTF">2019-05-27T01:33:17Z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