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ind w:right="480"/>
        <w:jc w:val="left"/>
        <w:rPr>
          <w:rFonts w:ascii="黑体" w:hAnsi="黑体" w:eastAsia="黑体" w:cs="宋体"/>
          <w:color w:val="000000"/>
          <w:kern w:val="0"/>
        </w:rPr>
      </w:pPr>
      <w:r>
        <w:rPr>
          <w:rFonts w:hint="eastAsia" w:ascii="黑体" w:hAnsi="黑体" w:eastAsia="黑体" w:cs="宋体"/>
          <w:color w:val="000000"/>
          <w:kern w:val="0"/>
        </w:rPr>
        <w:t>附件</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700" w:lineRule="exact"/>
        <w:jc w:val="center"/>
        <w:textAlignment w:val="auto"/>
        <w:outlineLvl w:val="9"/>
        <w:rPr>
          <w:rFonts w:hint="eastAsia" w:ascii="华文中宋" w:hAnsi="华文中宋" w:eastAsia="华文中宋"/>
          <w:b/>
          <w:sz w:val="36"/>
          <w:szCs w:val="36"/>
        </w:rPr>
      </w:pPr>
      <w:r>
        <w:rPr>
          <w:rFonts w:hint="eastAsia" w:ascii="华文中宋" w:hAnsi="华文中宋" w:eastAsia="华文中宋"/>
          <w:b/>
          <w:sz w:val="36"/>
          <w:szCs w:val="36"/>
        </w:rPr>
        <w:t>市残联</w:t>
      </w:r>
      <w:r>
        <w:rPr>
          <w:rFonts w:hint="eastAsia" w:ascii="华文中宋" w:hAnsi="华文中宋" w:eastAsia="华文中宋"/>
          <w:b/>
          <w:sz w:val="36"/>
          <w:szCs w:val="36"/>
          <w:lang w:val="en-US" w:eastAsia="zh-CN"/>
        </w:rPr>
        <w:t>2019年度</w:t>
      </w:r>
      <w:r>
        <w:rPr>
          <w:rFonts w:hint="eastAsia" w:ascii="华文中宋" w:hAnsi="华文中宋" w:eastAsia="华文中宋"/>
          <w:b/>
          <w:sz w:val="36"/>
          <w:szCs w:val="36"/>
          <w:lang w:eastAsia="zh-CN"/>
        </w:rPr>
        <w:t>助残社会组织和专门协会党建能力提升项目</w:t>
      </w:r>
      <w:r>
        <w:rPr>
          <w:rFonts w:hint="eastAsia" w:ascii="华文中宋" w:hAnsi="华文中宋" w:eastAsia="华文中宋"/>
          <w:b/>
          <w:sz w:val="36"/>
          <w:szCs w:val="36"/>
        </w:rPr>
        <w:t>项目评分表</w:t>
      </w:r>
    </w:p>
    <w:p>
      <w:pPr>
        <w:ind w:firstLine="420" w:firstLineChars="200"/>
        <w:rPr>
          <w:rFonts w:ascii="华文中宋" w:hAnsi="华文中宋" w:eastAsia="华文中宋" w:cs="宋体"/>
          <w:b/>
          <w:color w:val="000000"/>
          <w:kern w:val="0"/>
          <w:sz w:val="36"/>
          <w:szCs w:val="36"/>
        </w:rPr>
      </w:pPr>
      <w:r>
        <w:rPr>
          <w:rFonts w:hint="eastAsia" w:ascii="宋体-18030" w:hAnsi="宋体-18030" w:eastAsia="宋体-18030" w:cs="宋体-18030"/>
          <w:color w:val="000000"/>
          <w:kern w:val="0"/>
          <w:szCs w:val="21"/>
        </w:rPr>
        <w:t>制表单位：               日期：</w:t>
      </w:r>
    </w:p>
    <w:tbl>
      <w:tblPr>
        <w:tblStyle w:val="8"/>
        <w:tblW w:w="140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4"/>
        <w:gridCol w:w="840"/>
        <w:gridCol w:w="767"/>
        <w:gridCol w:w="576"/>
        <w:gridCol w:w="5680"/>
        <w:gridCol w:w="705"/>
        <w:gridCol w:w="1702"/>
        <w:gridCol w:w="1702"/>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序号</w:t>
            </w:r>
          </w:p>
        </w:tc>
        <w:tc>
          <w:tcPr>
            <w:tcW w:w="84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评分因素</w:t>
            </w:r>
          </w:p>
        </w:tc>
        <w:tc>
          <w:tcPr>
            <w:tcW w:w="767"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项 目</w:t>
            </w:r>
          </w:p>
        </w:tc>
        <w:tc>
          <w:tcPr>
            <w:tcW w:w="576"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标准分</w:t>
            </w:r>
          </w:p>
        </w:tc>
        <w:tc>
          <w:tcPr>
            <w:tcW w:w="568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评分标准</w:t>
            </w:r>
          </w:p>
        </w:tc>
        <w:tc>
          <w:tcPr>
            <w:tcW w:w="705" w:type="dxa"/>
            <w:shd w:val="clear" w:color="auto" w:fill="auto"/>
            <w:vAlign w:val="center"/>
          </w:tcPr>
          <w:p>
            <w:pPr>
              <w:snapToGrid w:val="0"/>
              <w:spacing w:line="240" w:lineRule="exact"/>
              <w:jc w:val="center"/>
              <w:rPr>
                <w:rFonts w:ascii="宋体" w:hAnsi="宋体"/>
                <w:sz w:val="18"/>
              </w:rPr>
            </w:pPr>
            <w:r>
              <w:rPr>
                <w:rFonts w:hint="eastAsia" w:ascii="宋体" w:hAnsi="宋体"/>
                <w:b/>
                <w:sz w:val="18"/>
              </w:rPr>
              <w:t>分值</w:t>
            </w:r>
          </w:p>
        </w:tc>
        <w:tc>
          <w:tcPr>
            <w:tcW w:w="1702" w:type="dxa"/>
            <w:vAlign w:val="center"/>
          </w:tcPr>
          <w:p>
            <w:pPr>
              <w:snapToGrid w:val="0"/>
              <w:spacing w:line="240" w:lineRule="exact"/>
              <w:jc w:val="center"/>
              <w:rPr>
                <w:rFonts w:ascii="宋体" w:hAnsi="宋体"/>
                <w:b/>
                <w:sz w:val="18"/>
              </w:rPr>
            </w:pPr>
          </w:p>
        </w:tc>
        <w:tc>
          <w:tcPr>
            <w:tcW w:w="1702" w:type="dxa"/>
            <w:vAlign w:val="center"/>
          </w:tcPr>
          <w:p>
            <w:pPr>
              <w:snapToGrid w:val="0"/>
              <w:spacing w:line="240" w:lineRule="exact"/>
              <w:jc w:val="center"/>
              <w:rPr>
                <w:rFonts w:ascii="宋体" w:hAnsi="宋体"/>
                <w:b/>
                <w:sz w:val="18"/>
              </w:rPr>
            </w:pPr>
          </w:p>
        </w:tc>
        <w:tc>
          <w:tcPr>
            <w:tcW w:w="1649" w:type="dxa"/>
            <w:vAlign w:val="center"/>
          </w:tcPr>
          <w:p>
            <w:pPr>
              <w:snapToGrid w:val="0"/>
              <w:spacing w:line="240" w:lineRule="exact"/>
              <w:jc w:val="center"/>
              <w:rPr>
                <w:rFonts w:ascii="宋体" w:hAnsi="宋体"/>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restart"/>
            <w:shd w:val="clear" w:color="auto" w:fill="auto"/>
            <w:vAlign w:val="center"/>
          </w:tcPr>
          <w:p>
            <w:pPr>
              <w:snapToGrid w:val="0"/>
              <w:spacing w:line="240" w:lineRule="exact"/>
              <w:jc w:val="center"/>
              <w:rPr>
                <w:rFonts w:ascii="宋体" w:hAnsi="宋体"/>
                <w:sz w:val="18"/>
              </w:rPr>
            </w:pPr>
            <w:r>
              <w:rPr>
                <w:rFonts w:hint="eastAsia" w:ascii="宋体" w:hAnsi="宋体"/>
                <w:sz w:val="18"/>
              </w:rPr>
              <w:t>1</w:t>
            </w:r>
          </w:p>
        </w:tc>
        <w:tc>
          <w:tcPr>
            <w:tcW w:w="840" w:type="dxa"/>
            <w:vMerge w:val="restart"/>
            <w:shd w:val="clear" w:color="auto" w:fill="auto"/>
            <w:vAlign w:val="center"/>
          </w:tcPr>
          <w:p>
            <w:pPr>
              <w:spacing w:line="240" w:lineRule="exact"/>
              <w:jc w:val="center"/>
              <w:rPr>
                <w:rFonts w:ascii="宋体" w:hAnsi="宋体"/>
                <w:sz w:val="18"/>
              </w:rPr>
            </w:pPr>
            <w:r>
              <w:rPr>
                <w:rFonts w:hint="eastAsia" w:ascii="宋体" w:hAnsi="宋体"/>
                <w:b/>
                <w:sz w:val="18"/>
              </w:rPr>
              <w:t>商务部分（35分）</w:t>
            </w:r>
          </w:p>
        </w:tc>
        <w:tc>
          <w:tcPr>
            <w:tcW w:w="767" w:type="dxa"/>
            <w:vMerge w:val="restart"/>
            <w:shd w:val="clear" w:color="auto" w:fill="auto"/>
            <w:vAlign w:val="center"/>
          </w:tcPr>
          <w:p>
            <w:pPr>
              <w:spacing w:line="240" w:lineRule="exact"/>
              <w:jc w:val="center"/>
              <w:rPr>
                <w:rFonts w:hint="eastAsia" w:ascii="宋体" w:hAnsi="宋体"/>
                <w:sz w:val="18"/>
              </w:rPr>
            </w:pPr>
            <w:r>
              <w:rPr>
                <w:rFonts w:hint="eastAsia" w:ascii="宋体" w:hAnsi="宋体"/>
                <w:sz w:val="18"/>
              </w:rPr>
              <w:t>机构</w:t>
            </w:r>
          </w:p>
          <w:p>
            <w:pPr>
              <w:spacing w:line="240" w:lineRule="exact"/>
              <w:jc w:val="center"/>
              <w:rPr>
                <w:rFonts w:ascii="宋体" w:hAnsi="宋体"/>
                <w:sz w:val="18"/>
              </w:rPr>
            </w:pPr>
            <w:r>
              <w:rPr>
                <w:rFonts w:hint="eastAsia" w:ascii="宋体" w:hAnsi="宋体"/>
                <w:sz w:val="18"/>
              </w:rPr>
              <w:t>资质</w:t>
            </w:r>
          </w:p>
        </w:tc>
        <w:tc>
          <w:tcPr>
            <w:tcW w:w="576" w:type="dxa"/>
            <w:vMerge w:val="restart"/>
            <w:shd w:val="clear" w:color="auto" w:fill="auto"/>
            <w:vAlign w:val="center"/>
          </w:tcPr>
          <w:p>
            <w:pPr>
              <w:snapToGrid w:val="0"/>
              <w:spacing w:line="240" w:lineRule="exact"/>
              <w:jc w:val="center"/>
              <w:rPr>
                <w:rFonts w:ascii="宋体" w:hAnsi="宋体"/>
                <w:sz w:val="18"/>
              </w:rPr>
            </w:pPr>
            <w:r>
              <w:rPr>
                <w:rFonts w:hint="eastAsia" w:ascii="宋体" w:hAnsi="宋体"/>
                <w:sz w:val="18"/>
              </w:rPr>
              <w:t>15</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机构相关资格证明文件（企业法人营业执照、机构登记证书或其他组织证书）、机构法定代表人身份证复印件、法定代表人授权证书、受委托人身份证复印件</w:t>
            </w:r>
          </w:p>
        </w:tc>
        <w:tc>
          <w:tcPr>
            <w:tcW w:w="705" w:type="dxa"/>
            <w:shd w:val="clear" w:color="auto" w:fill="auto"/>
            <w:vAlign w:val="center"/>
          </w:tcPr>
          <w:p>
            <w:pPr>
              <w:spacing w:line="240" w:lineRule="exact"/>
              <w:jc w:val="center"/>
              <w:rPr>
                <w:rFonts w:ascii="宋体" w:hAnsi="宋体"/>
                <w:sz w:val="18"/>
              </w:rPr>
            </w:pPr>
            <w:r>
              <w:rPr>
                <w:rFonts w:hint="eastAsia" w:ascii="宋体" w:hAnsi="宋体"/>
                <w:sz w:val="18"/>
              </w:rPr>
              <w:t>0-5</w:t>
            </w:r>
          </w:p>
        </w:tc>
        <w:tc>
          <w:tcPr>
            <w:tcW w:w="1702" w:type="dxa"/>
            <w:vAlign w:val="center"/>
          </w:tcPr>
          <w:p>
            <w:pPr>
              <w:spacing w:line="240" w:lineRule="exact"/>
              <w:jc w:val="center"/>
              <w:rPr>
                <w:rFonts w:ascii="宋体" w:hAnsi="宋体"/>
                <w:sz w:val="18"/>
              </w:rPr>
            </w:pPr>
          </w:p>
        </w:tc>
        <w:tc>
          <w:tcPr>
            <w:tcW w:w="1702" w:type="dxa"/>
            <w:vAlign w:val="center"/>
          </w:tcPr>
          <w:p>
            <w:pPr>
              <w:spacing w:line="240" w:lineRule="exact"/>
              <w:jc w:val="center"/>
              <w:rPr>
                <w:rFonts w:ascii="宋体" w:hAnsi="宋体"/>
                <w:sz w:val="18"/>
              </w:rPr>
            </w:pPr>
          </w:p>
        </w:tc>
        <w:tc>
          <w:tcPr>
            <w:tcW w:w="1649"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b/>
                <w:sz w:val="18"/>
              </w:rPr>
            </w:pPr>
          </w:p>
        </w:tc>
        <w:tc>
          <w:tcPr>
            <w:tcW w:w="840" w:type="dxa"/>
            <w:vMerge w:val="continue"/>
            <w:shd w:val="clear" w:color="auto" w:fill="auto"/>
            <w:vAlign w:val="center"/>
          </w:tcPr>
          <w:p>
            <w:pPr>
              <w:spacing w:line="240" w:lineRule="exact"/>
              <w:jc w:val="center"/>
              <w:rPr>
                <w:rFonts w:ascii="宋体" w:hAnsi="宋体"/>
                <w:b/>
                <w:sz w:val="18"/>
              </w:rPr>
            </w:pPr>
          </w:p>
        </w:tc>
        <w:tc>
          <w:tcPr>
            <w:tcW w:w="767" w:type="dxa"/>
            <w:vMerge w:val="continue"/>
            <w:shd w:val="clear" w:color="auto" w:fill="auto"/>
            <w:vAlign w:val="center"/>
          </w:tcPr>
          <w:p>
            <w:pPr>
              <w:spacing w:line="240" w:lineRule="exact"/>
              <w:jc w:val="center"/>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机构财务条件具有履约能力（近六个月内任三个月依法缴纳税收和社会保障金的凭证复印件）</w:t>
            </w:r>
          </w:p>
        </w:tc>
        <w:tc>
          <w:tcPr>
            <w:tcW w:w="705" w:type="dxa"/>
            <w:shd w:val="clear" w:color="auto" w:fill="auto"/>
            <w:vAlign w:val="center"/>
          </w:tcPr>
          <w:p>
            <w:pPr>
              <w:spacing w:line="240" w:lineRule="exact"/>
              <w:jc w:val="center"/>
              <w:rPr>
                <w:rFonts w:ascii="宋体" w:hAnsi="宋体"/>
                <w:sz w:val="18"/>
              </w:rPr>
            </w:pPr>
            <w:r>
              <w:rPr>
                <w:rFonts w:hint="eastAsia" w:ascii="宋体" w:hAnsi="宋体"/>
                <w:sz w:val="18"/>
              </w:rPr>
              <w:t>0-5</w:t>
            </w:r>
          </w:p>
        </w:tc>
        <w:tc>
          <w:tcPr>
            <w:tcW w:w="1702" w:type="dxa"/>
            <w:vAlign w:val="center"/>
          </w:tcPr>
          <w:p>
            <w:pPr>
              <w:spacing w:line="240" w:lineRule="exact"/>
              <w:jc w:val="center"/>
              <w:rPr>
                <w:rFonts w:ascii="宋体" w:hAnsi="宋体"/>
                <w:sz w:val="18"/>
              </w:rPr>
            </w:pPr>
          </w:p>
        </w:tc>
        <w:tc>
          <w:tcPr>
            <w:tcW w:w="1702" w:type="dxa"/>
            <w:vAlign w:val="center"/>
          </w:tcPr>
          <w:p>
            <w:pPr>
              <w:spacing w:line="240" w:lineRule="exact"/>
              <w:jc w:val="center"/>
              <w:rPr>
                <w:rFonts w:ascii="宋体" w:hAnsi="宋体"/>
                <w:sz w:val="18"/>
              </w:rPr>
            </w:pPr>
          </w:p>
        </w:tc>
        <w:tc>
          <w:tcPr>
            <w:tcW w:w="1649"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b/>
                <w:sz w:val="18"/>
              </w:rPr>
            </w:pPr>
          </w:p>
        </w:tc>
        <w:tc>
          <w:tcPr>
            <w:tcW w:w="840" w:type="dxa"/>
            <w:vMerge w:val="continue"/>
            <w:shd w:val="clear" w:color="auto" w:fill="auto"/>
            <w:vAlign w:val="center"/>
          </w:tcPr>
          <w:p>
            <w:pPr>
              <w:spacing w:line="240" w:lineRule="exact"/>
              <w:jc w:val="center"/>
              <w:rPr>
                <w:rFonts w:ascii="宋体" w:hAnsi="宋体"/>
                <w:b/>
                <w:sz w:val="18"/>
              </w:rPr>
            </w:pPr>
          </w:p>
        </w:tc>
        <w:tc>
          <w:tcPr>
            <w:tcW w:w="767" w:type="dxa"/>
            <w:vMerge w:val="continue"/>
            <w:shd w:val="clear" w:color="auto" w:fill="auto"/>
            <w:vAlign w:val="center"/>
          </w:tcPr>
          <w:p>
            <w:pPr>
              <w:spacing w:line="240" w:lineRule="exact"/>
              <w:jc w:val="center"/>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机构信用证明材料或近三年内在经营活动中没有重大违法记录的书面声明，并加盖公章</w:t>
            </w:r>
          </w:p>
        </w:tc>
        <w:tc>
          <w:tcPr>
            <w:tcW w:w="705" w:type="dxa"/>
            <w:shd w:val="clear" w:color="auto" w:fill="auto"/>
            <w:vAlign w:val="center"/>
          </w:tcPr>
          <w:p>
            <w:pPr>
              <w:spacing w:line="240" w:lineRule="exact"/>
              <w:jc w:val="center"/>
              <w:rPr>
                <w:rFonts w:ascii="宋体" w:hAnsi="宋体"/>
                <w:sz w:val="18"/>
              </w:rPr>
            </w:pPr>
            <w:r>
              <w:rPr>
                <w:rFonts w:hint="eastAsia" w:ascii="宋体" w:hAnsi="宋体"/>
                <w:sz w:val="18"/>
              </w:rPr>
              <w:t>0-5</w:t>
            </w:r>
          </w:p>
        </w:tc>
        <w:tc>
          <w:tcPr>
            <w:tcW w:w="1702" w:type="dxa"/>
            <w:vAlign w:val="center"/>
          </w:tcPr>
          <w:p>
            <w:pPr>
              <w:spacing w:line="240" w:lineRule="exact"/>
              <w:jc w:val="center"/>
              <w:rPr>
                <w:rFonts w:ascii="宋体" w:hAnsi="宋体"/>
                <w:sz w:val="18"/>
              </w:rPr>
            </w:pPr>
          </w:p>
        </w:tc>
        <w:tc>
          <w:tcPr>
            <w:tcW w:w="1702" w:type="dxa"/>
            <w:vAlign w:val="center"/>
          </w:tcPr>
          <w:p>
            <w:pPr>
              <w:spacing w:line="240" w:lineRule="exact"/>
              <w:jc w:val="center"/>
              <w:rPr>
                <w:rFonts w:ascii="宋体" w:hAnsi="宋体"/>
                <w:sz w:val="18"/>
              </w:rPr>
            </w:pPr>
          </w:p>
        </w:tc>
        <w:tc>
          <w:tcPr>
            <w:tcW w:w="1649"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pacing w:line="240" w:lineRule="exact"/>
              <w:jc w:val="center"/>
              <w:rPr>
                <w:rFonts w:hint="eastAsia" w:ascii="宋体" w:hAnsi="宋体"/>
                <w:color w:val="auto"/>
                <w:sz w:val="18"/>
              </w:rPr>
            </w:pPr>
            <w:r>
              <w:rPr>
                <w:rFonts w:hint="eastAsia" w:ascii="宋体" w:hAnsi="宋体"/>
                <w:color w:val="auto"/>
                <w:sz w:val="18"/>
              </w:rPr>
              <w:t>相关</w:t>
            </w:r>
          </w:p>
          <w:p>
            <w:pPr>
              <w:spacing w:line="240" w:lineRule="exact"/>
              <w:jc w:val="center"/>
              <w:rPr>
                <w:rFonts w:ascii="宋体" w:hAnsi="宋体"/>
                <w:color w:val="auto"/>
                <w:sz w:val="18"/>
              </w:rPr>
            </w:pPr>
            <w:r>
              <w:rPr>
                <w:rFonts w:hint="eastAsia" w:ascii="宋体" w:hAnsi="宋体"/>
                <w:color w:val="auto"/>
                <w:sz w:val="18"/>
              </w:rPr>
              <w:t>业绩</w:t>
            </w:r>
          </w:p>
        </w:tc>
        <w:tc>
          <w:tcPr>
            <w:tcW w:w="576" w:type="dxa"/>
            <w:shd w:val="clear" w:color="auto" w:fill="auto"/>
            <w:vAlign w:val="center"/>
          </w:tcPr>
          <w:p>
            <w:pPr>
              <w:snapToGrid w:val="0"/>
              <w:spacing w:line="240" w:lineRule="exact"/>
              <w:jc w:val="center"/>
              <w:rPr>
                <w:rFonts w:ascii="宋体" w:hAnsi="宋体"/>
                <w:color w:val="auto"/>
                <w:sz w:val="18"/>
              </w:rPr>
            </w:pPr>
            <w:r>
              <w:rPr>
                <w:rFonts w:hint="eastAsia" w:ascii="宋体" w:hAnsi="宋体"/>
                <w:color w:val="auto"/>
                <w:sz w:val="18"/>
              </w:rPr>
              <w:t>20</w:t>
            </w:r>
          </w:p>
        </w:tc>
        <w:tc>
          <w:tcPr>
            <w:tcW w:w="5680" w:type="dxa"/>
            <w:shd w:val="clear" w:color="auto" w:fill="auto"/>
            <w:vAlign w:val="center"/>
          </w:tcPr>
          <w:p>
            <w:pPr>
              <w:snapToGrid w:val="0"/>
              <w:spacing w:line="240" w:lineRule="exact"/>
              <w:rPr>
                <w:rFonts w:ascii="宋体" w:hAnsi="宋体"/>
                <w:color w:val="auto"/>
                <w:sz w:val="18"/>
              </w:rPr>
            </w:pPr>
            <w:r>
              <w:rPr>
                <w:rFonts w:hint="eastAsia" w:ascii="宋体" w:hAnsi="宋体" w:cs="宋体"/>
                <w:color w:val="auto"/>
                <w:kern w:val="0"/>
                <w:sz w:val="18"/>
              </w:rPr>
              <w:t>过去3年承担过</w:t>
            </w:r>
            <w:r>
              <w:rPr>
                <w:rFonts w:hint="eastAsia" w:ascii="宋体" w:hAnsi="宋体" w:cs="宋体"/>
                <w:color w:val="auto"/>
                <w:kern w:val="0"/>
                <w:sz w:val="18"/>
                <w:lang w:eastAsia="zh-CN"/>
              </w:rPr>
              <w:t>相关项目</w:t>
            </w:r>
            <w:r>
              <w:rPr>
                <w:rFonts w:hint="eastAsia" w:ascii="宋体" w:hAnsi="宋体" w:cs="宋体"/>
                <w:color w:val="auto"/>
                <w:kern w:val="0"/>
                <w:sz w:val="18"/>
              </w:rPr>
              <w:t>（附合同复印件，包括合同首页、签章页以及含有项目名称及内容的相关页，加盖公章），每提供一份相关合同复印件或有效证明得5分，最多得</w:t>
            </w:r>
            <w:r>
              <w:rPr>
                <w:rFonts w:hint="eastAsia" w:ascii="宋体" w:hAnsi="宋体" w:cs="宋体"/>
                <w:color w:val="auto"/>
                <w:kern w:val="0"/>
                <w:sz w:val="18"/>
                <w:lang w:val="en-US" w:eastAsia="zh-CN"/>
              </w:rPr>
              <w:t>20</w:t>
            </w:r>
            <w:r>
              <w:rPr>
                <w:rFonts w:hint="eastAsia" w:ascii="宋体" w:hAnsi="宋体" w:cs="宋体"/>
                <w:color w:val="auto"/>
                <w:kern w:val="0"/>
                <w:sz w:val="18"/>
              </w:rPr>
              <w:t>分</w:t>
            </w:r>
          </w:p>
        </w:tc>
        <w:tc>
          <w:tcPr>
            <w:tcW w:w="705" w:type="dxa"/>
            <w:shd w:val="clear" w:color="auto" w:fill="auto"/>
            <w:vAlign w:val="center"/>
          </w:tcPr>
          <w:p>
            <w:pPr>
              <w:spacing w:line="240" w:lineRule="exact"/>
              <w:jc w:val="center"/>
              <w:rPr>
                <w:rFonts w:ascii="宋体" w:hAnsi="宋体"/>
                <w:color w:val="auto"/>
                <w:sz w:val="18"/>
              </w:rPr>
            </w:pPr>
            <w:r>
              <w:rPr>
                <w:rFonts w:ascii="宋体" w:hAnsi="宋体"/>
                <w:color w:val="auto"/>
                <w:sz w:val="18"/>
              </w:rPr>
              <w:t>0-</w:t>
            </w:r>
            <w:r>
              <w:rPr>
                <w:rFonts w:hint="eastAsia" w:ascii="宋体" w:hAnsi="宋体"/>
                <w:color w:val="auto"/>
                <w:sz w:val="18"/>
              </w:rPr>
              <w:t>20</w:t>
            </w:r>
          </w:p>
        </w:tc>
        <w:tc>
          <w:tcPr>
            <w:tcW w:w="1702" w:type="dxa"/>
            <w:vAlign w:val="center"/>
          </w:tcPr>
          <w:p>
            <w:pPr>
              <w:spacing w:line="240" w:lineRule="exact"/>
              <w:jc w:val="center"/>
              <w:rPr>
                <w:rFonts w:ascii="宋体" w:hAnsi="宋体"/>
                <w:sz w:val="18"/>
              </w:rPr>
            </w:pPr>
          </w:p>
        </w:tc>
        <w:tc>
          <w:tcPr>
            <w:tcW w:w="1702" w:type="dxa"/>
            <w:vAlign w:val="center"/>
          </w:tcPr>
          <w:p>
            <w:pPr>
              <w:spacing w:line="240" w:lineRule="exact"/>
              <w:jc w:val="center"/>
              <w:rPr>
                <w:rFonts w:ascii="宋体" w:hAnsi="宋体"/>
                <w:sz w:val="18"/>
              </w:rPr>
            </w:pPr>
          </w:p>
        </w:tc>
        <w:tc>
          <w:tcPr>
            <w:tcW w:w="1649"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vMerge w:val="restart"/>
            <w:shd w:val="clear" w:color="auto" w:fill="auto"/>
            <w:vAlign w:val="center"/>
          </w:tcPr>
          <w:p>
            <w:pPr>
              <w:snapToGrid w:val="0"/>
              <w:spacing w:line="240" w:lineRule="exact"/>
              <w:jc w:val="center"/>
              <w:rPr>
                <w:rFonts w:ascii="宋体" w:hAnsi="宋体"/>
                <w:b/>
                <w:sz w:val="18"/>
              </w:rPr>
            </w:pPr>
            <w:r>
              <w:rPr>
                <w:rFonts w:hint="eastAsia" w:ascii="宋体" w:hAnsi="宋体"/>
                <w:b/>
                <w:sz w:val="18"/>
              </w:rPr>
              <w:t xml:space="preserve">                                                                                                                                                                                                                                                                                                                                                                                                                                                                                                                                                                                                                                                                                                                                                                                                                                                                                                                                                                                                                                                                                                                                                                                                                                                                                                                                                                                                                                                                                                                                                                                                                                                                                                                                                                                                                                                                                                                                                                                                                                                                                                                                                                                                                                                                                                                                                                                                                                                                                                                                                                                                                                                                                                                                                                                                                                                                                                                                                                                                                                                                                                                                                                                                                                                                                                                                                                                                                                                                                                                        2</w:t>
            </w:r>
          </w:p>
        </w:tc>
        <w:tc>
          <w:tcPr>
            <w:tcW w:w="840" w:type="dxa"/>
            <w:vMerge w:val="restart"/>
            <w:shd w:val="clear" w:color="auto" w:fill="auto"/>
            <w:vAlign w:val="center"/>
          </w:tcPr>
          <w:p>
            <w:pPr>
              <w:spacing w:line="240" w:lineRule="exact"/>
              <w:jc w:val="center"/>
              <w:rPr>
                <w:rFonts w:ascii="宋体" w:hAnsi="宋体"/>
                <w:b/>
                <w:sz w:val="18"/>
              </w:rPr>
            </w:pPr>
            <w:r>
              <w:rPr>
                <w:rFonts w:hint="eastAsia" w:ascii="宋体" w:hAnsi="宋体"/>
                <w:b/>
                <w:sz w:val="18"/>
              </w:rPr>
              <w:t>技术部分（55分）</w:t>
            </w:r>
          </w:p>
        </w:tc>
        <w:tc>
          <w:tcPr>
            <w:tcW w:w="767" w:type="dxa"/>
            <w:vMerge w:val="restart"/>
            <w:shd w:val="clear" w:color="auto" w:fill="auto"/>
            <w:vAlign w:val="center"/>
          </w:tcPr>
          <w:p>
            <w:pPr>
              <w:spacing w:line="240" w:lineRule="exact"/>
              <w:jc w:val="center"/>
              <w:rPr>
                <w:rFonts w:ascii="宋体" w:hAnsi="宋体"/>
                <w:sz w:val="18"/>
              </w:rPr>
            </w:pPr>
            <w:r>
              <w:rPr>
                <w:rFonts w:hint="eastAsia" w:ascii="宋体" w:hAnsi="宋体"/>
                <w:sz w:val="18"/>
              </w:rPr>
              <w:t>服务方案与措施</w:t>
            </w:r>
          </w:p>
        </w:tc>
        <w:tc>
          <w:tcPr>
            <w:tcW w:w="576" w:type="dxa"/>
            <w:vMerge w:val="restart"/>
            <w:shd w:val="clear" w:color="auto" w:fill="auto"/>
            <w:vAlign w:val="center"/>
          </w:tcPr>
          <w:p>
            <w:pPr>
              <w:snapToGrid w:val="0"/>
              <w:spacing w:line="240" w:lineRule="exact"/>
              <w:jc w:val="center"/>
              <w:rPr>
                <w:rFonts w:hint="default" w:ascii="宋体" w:hAnsi="宋体" w:eastAsiaTheme="minorEastAsia"/>
                <w:sz w:val="18"/>
                <w:lang w:val="en-US" w:eastAsia="zh-CN"/>
              </w:rPr>
            </w:pPr>
            <w:r>
              <w:rPr>
                <w:rFonts w:hint="eastAsia" w:ascii="宋体" w:hAnsi="宋体"/>
                <w:sz w:val="18"/>
                <w:lang w:val="en-US" w:eastAsia="zh-CN"/>
              </w:rPr>
              <w:t>20</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服务方案完整，合理可行，服务内容及措施细致、具有针对性、有一定可操作性，能够满足项目需求（1</w:t>
            </w:r>
            <w:r>
              <w:rPr>
                <w:rFonts w:hint="eastAsia" w:ascii="宋体" w:hAnsi="宋体"/>
                <w:sz w:val="18"/>
                <w:lang w:val="en-US" w:eastAsia="zh-CN"/>
              </w:rPr>
              <w:t>5</w:t>
            </w:r>
            <w:r>
              <w:rPr>
                <w:rFonts w:ascii="宋体" w:hAnsi="宋体"/>
                <w:sz w:val="18"/>
              </w:rPr>
              <w:t>-</w:t>
            </w:r>
            <w:r>
              <w:rPr>
                <w:rFonts w:hint="eastAsia" w:ascii="宋体" w:hAnsi="宋体"/>
                <w:sz w:val="18"/>
                <w:lang w:val="en-US" w:eastAsia="zh-CN"/>
              </w:rPr>
              <w:t>20</w:t>
            </w:r>
            <w:r>
              <w:rPr>
                <w:rFonts w:hint="eastAsia" w:ascii="宋体" w:hAnsi="宋体"/>
                <w:sz w:val="18"/>
              </w:rPr>
              <w:t>）；</w:t>
            </w:r>
          </w:p>
        </w:tc>
        <w:tc>
          <w:tcPr>
            <w:tcW w:w="705" w:type="dxa"/>
            <w:vMerge w:val="restart"/>
            <w:shd w:val="clear" w:color="auto" w:fill="auto"/>
            <w:vAlign w:val="center"/>
          </w:tcPr>
          <w:p>
            <w:pPr>
              <w:spacing w:line="240" w:lineRule="exact"/>
              <w:jc w:val="center"/>
              <w:rPr>
                <w:rFonts w:hint="default" w:ascii="宋体" w:hAnsi="宋体" w:eastAsiaTheme="minorEastAsia"/>
                <w:sz w:val="18"/>
                <w:lang w:val="en-US" w:eastAsia="zh-CN"/>
              </w:rPr>
            </w:pPr>
            <w:r>
              <w:rPr>
                <w:rFonts w:hint="eastAsia" w:ascii="宋体" w:hAnsi="宋体"/>
                <w:sz w:val="18"/>
              </w:rPr>
              <w:t>0</w:t>
            </w:r>
            <w:r>
              <w:rPr>
                <w:rFonts w:ascii="宋体" w:hAnsi="宋体"/>
                <w:sz w:val="18"/>
              </w:rPr>
              <w:t>-</w:t>
            </w:r>
            <w:r>
              <w:rPr>
                <w:rFonts w:hint="eastAsia" w:ascii="宋体" w:hAnsi="宋体"/>
                <w:sz w:val="18"/>
                <w:lang w:val="en-US" w:eastAsia="zh-CN"/>
              </w:rPr>
              <w:t>20</w:t>
            </w:r>
          </w:p>
        </w:tc>
        <w:tc>
          <w:tcPr>
            <w:tcW w:w="1702" w:type="dxa"/>
            <w:vMerge w:val="restart"/>
            <w:vAlign w:val="center"/>
          </w:tcPr>
          <w:p>
            <w:pPr>
              <w:spacing w:line="240" w:lineRule="exact"/>
              <w:jc w:val="center"/>
              <w:rPr>
                <w:rFonts w:ascii="宋体" w:hAnsi="宋体"/>
                <w:sz w:val="18"/>
              </w:rPr>
            </w:pPr>
          </w:p>
        </w:tc>
        <w:tc>
          <w:tcPr>
            <w:tcW w:w="1702" w:type="dxa"/>
            <w:vMerge w:val="restart"/>
            <w:vAlign w:val="center"/>
          </w:tcPr>
          <w:p>
            <w:pPr>
              <w:spacing w:line="240" w:lineRule="exact"/>
              <w:jc w:val="center"/>
              <w:rPr>
                <w:rFonts w:ascii="宋体" w:hAnsi="宋体"/>
                <w:sz w:val="18"/>
              </w:rPr>
            </w:pPr>
          </w:p>
        </w:tc>
        <w:tc>
          <w:tcPr>
            <w:tcW w:w="1649" w:type="dxa"/>
            <w:vMerge w:val="restart"/>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jc w:val="center"/>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服务方案比较完整，服务内容及措施较为细致、较有针对性、可操作性一般，基本能够实现项目需求（</w:t>
            </w:r>
            <w:r>
              <w:rPr>
                <w:rFonts w:hint="eastAsia" w:ascii="宋体" w:hAnsi="宋体"/>
                <w:sz w:val="18"/>
                <w:lang w:val="en-US" w:eastAsia="zh-CN"/>
              </w:rPr>
              <w:t>9</w:t>
            </w:r>
            <w:r>
              <w:rPr>
                <w:rFonts w:ascii="宋体" w:hAnsi="宋体"/>
                <w:sz w:val="18"/>
              </w:rPr>
              <w:t>-</w:t>
            </w:r>
            <w:r>
              <w:rPr>
                <w:rFonts w:hint="eastAsia" w:ascii="宋体" w:hAnsi="宋体"/>
                <w:sz w:val="18"/>
                <w:lang w:val="en-US" w:eastAsia="zh-CN"/>
              </w:rPr>
              <w:t>14</w:t>
            </w:r>
            <w:r>
              <w:rPr>
                <w:rFonts w:hint="eastAsia" w:ascii="宋体" w:hAnsi="宋体"/>
                <w:sz w:val="18"/>
              </w:rPr>
              <w:t>）；</w:t>
            </w:r>
          </w:p>
        </w:tc>
        <w:tc>
          <w:tcPr>
            <w:tcW w:w="705" w:type="dxa"/>
            <w:vMerge w:val="continue"/>
            <w:shd w:val="clear" w:color="auto" w:fill="auto"/>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649"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jc w:val="center"/>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服务方案内容及措施一般，细致程度、针对性、操作性欠佳（0-</w:t>
            </w:r>
            <w:r>
              <w:rPr>
                <w:rFonts w:hint="eastAsia" w:ascii="宋体" w:hAnsi="宋体"/>
                <w:sz w:val="18"/>
                <w:lang w:val="en-US" w:eastAsia="zh-CN"/>
              </w:rPr>
              <w:t>8</w:t>
            </w:r>
            <w:r>
              <w:rPr>
                <w:rFonts w:hint="eastAsia" w:ascii="宋体" w:hAnsi="宋体"/>
                <w:sz w:val="18"/>
              </w:rPr>
              <w:t>）</w:t>
            </w:r>
            <w:bookmarkStart w:id="0" w:name="_GoBack"/>
            <w:bookmarkEnd w:id="0"/>
            <w:r>
              <w:rPr>
                <w:rFonts w:hint="eastAsia" w:ascii="宋体" w:hAnsi="宋体"/>
                <w:sz w:val="18"/>
              </w:rPr>
              <w:t>。</w:t>
            </w:r>
          </w:p>
        </w:tc>
        <w:tc>
          <w:tcPr>
            <w:tcW w:w="705" w:type="dxa"/>
            <w:vMerge w:val="continue"/>
            <w:shd w:val="clear" w:color="auto" w:fill="auto"/>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649"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8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napToGrid w:val="0"/>
              <w:spacing w:line="240" w:lineRule="exact"/>
              <w:jc w:val="center"/>
              <w:rPr>
                <w:rFonts w:ascii="宋体" w:hAnsi="宋体"/>
                <w:sz w:val="18"/>
              </w:rPr>
            </w:pPr>
            <w:r>
              <w:rPr>
                <w:rFonts w:hint="eastAsia" w:ascii="仿宋_GB2312" w:hAnsi="仿宋" w:eastAsia="仿宋_GB2312"/>
                <w:szCs w:val="21"/>
              </w:rPr>
              <w:t>对需求的响应程度</w:t>
            </w:r>
          </w:p>
        </w:tc>
        <w:tc>
          <w:tcPr>
            <w:tcW w:w="576" w:type="dxa"/>
            <w:vMerge w:val="restart"/>
            <w:shd w:val="clear" w:color="auto" w:fill="auto"/>
            <w:vAlign w:val="center"/>
          </w:tcPr>
          <w:p>
            <w:pPr>
              <w:snapToGrid w:val="0"/>
              <w:spacing w:line="240" w:lineRule="exact"/>
              <w:jc w:val="center"/>
              <w:rPr>
                <w:rFonts w:ascii="宋体" w:hAnsi="宋体"/>
                <w:sz w:val="18"/>
              </w:rPr>
            </w:pPr>
            <w:r>
              <w:rPr>
                <w:rFonts w:ascii="宋体" w:hAnsi="宋体"/>
                <w:sz w:val="18"/>
              </w:rPr>
              <w:t>15</w:t>
            </w:r>
          </w:p>
        </w:tc>
        <w:tc>
          <w:tcPr>
            <w:tcW w:w="5680" w:type="dxa"/>
            <w:tcBorders/>
            <w:shd w:val="clear" w:color="auto" w:fill="auto"/>
            <w:vAlign w:val="center"/>
          </w:tcPr>
          <w:p>
            <w:pPr>
              <w:snapToGrid w:val="0"/>
              <w:spacing w:line="240" w:lineRule="exact"/>
              <w:rPr>
                <w:rFonts w:hint="eastAsia" w:ascii="宋体" w:hAnsi="宋体"/>
                <w:sz w:val="18"/>
              </w:rPr>
            </w:pPr>
            <w:r>
              <w:rPr>
                <w:rFonts w:hint="eastAsia" w:ascii="宋体" w:hAnsi="宋体"/>
                <w:sz w:val="18"/>
              </w:rPr>
              <w:t>技术文件完全响应本项目的工作任务和基本要求，在充分理解的基础上，对各项任务和基本要求能够进一步细化，内容准确且全面，满足本项目的需求，思路清晰、层次分明、具有实操性</w:t>
            </w:r>
          </w:p>
        </w:tc>
        <w:tc>
          <w:tcPr>
            <w:tcW w:w="705"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-15</w:t>
            </w:r>
          </w:p>
        </w:tc>
        <w:tc>
          <w:tcPr>
            <w:tcW w:w="1702" w:type="dxa"/>
            <w:vAlign w:val="center"/>
          </w:tcPr>
          <w:p>
            <w:pPr>
              <w:spacing w:line="240" w:lineRule="exact"/>
              <w:jc w:val="center"/>
              <w:rPr>
                <w:rFonts w:ascii="宋体" w:hAnsi="宋体" w:cs="宋体"/>
                <w:kern w:val="0"/>
                <w:sz w:val="18"/>
              </w:rPr>
            </w:pPr>
          </w:p>
        </w:tc>
        <w:tc>
          <w:tcPr>
            <w:tcW w:w="1702" w:type="dxa"/>
            <w:vAlign w:val="center"/>
          </w:tcPr>
          <w:p>
            <w:pPr>
              <w:spacing w:line="240" w:lineRule="exact"/>
              <w:jc w:val="center"/>
              <w:rPr>
                <w:rFonts w:ascii="宋体" w:hAnsi="宋体" w:cs="宋体"/>
                <w:kern w:val="0"/>
                <w:sz w:val="18"/>
              </w:rPr>
            </w:pPr>
          </w:p>
        </w:tc>
        <w:tc>
          <w:tcPr>
            <w:tcW w:w="1649"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80"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pacing w:line="240" w:lineRule="exact"/>
              <w:jc w:val="center"/>
              <w:rPr>
                <w:rFonts w:hint="eastAsia" w:ascii="宋体" w:hAnsi="宋体"/>
                <w:sz w:val="18"/>
              </w:rPr>
            </w:pPr>
            <w:r>
              <w:rPr>
                <w:rFonts w:hint="eastAsia" w:ascii="宋体" w:hAnsi="宋体"/>
                <w:sz w:val="18"/>
              </w:rPr>
              <w:t>人员</w:t>
            </w:r>
          </w:p>
          <w:p>
            <w:pPr>
              <w:spacing w:line="240" w:lineRule="exact"/>
              <w:jc w:val="center"/>
              <w:rPr>
                <w:rFonts w:hint="eastAsia" w:ascii="宋体" w:hAnsi="宋体" w:cs="宋体" w:eastAsiaTheme="minorEastAsia"/>
                <w:kern w:val="0"/>
                <w:sz w:val="18"/>
                <w:lang w:eastAsia="zh-CN"/>
              </w:rPr>
            </w:pPr>
            <w:r>
              <w:rPr>
                <w:rFonts w:hint="eastAsia" w:ascii="宋体" w:hAnsi="宋体" w:cs="宋体"/>
                <w:kern w:val="0"/>
                <w:sz w:val="18"/>
                <w:lang w:eastAsia="zh-CN"/>
              </w:rPr>
              <w:t>构成</w:t>
            </w:r>
          </w:p>
        </w:tc>
        <w:tc>
          <w:tcPr>
            <w:tcW w:w="576"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15</w:t>
            </w:r>
          </w:p>
        </w:tc>
        <w:tc>
          <w:tcPr>
            <w:tcW w:w="5680" w:type="dxa"/>
            <w:shd w:val="clear" w:color="auto" w:fill="auto"/>
            <w:vAlign w:val="center"/>
          </w:tcPr>
          <w:p>
            <w:pPr>
              <w:snapToGrid w:val="0"/>
              <w:spacing w:line="240" w:lineRule="exact"/>
              <w:rPr>
                <w:rFonts w:hint="eastAsia" w:ascii="宋体" w:hAnsi="宋体"/>
                <w:sz w:val="18"/>
              </w:rPr>
            </w:pPr>
            <w:r>
              <w:rPr>
                <w:rFonts w:hint="eastAsia" w:ascii="宋体" w:hAnsi="宋体"/>
                <w:sz w:val="18"/>
              </w:rPr>
              <w:t>对本项目的工作任务有合理的分解，各工作职责明确，人员的数量、素质和专业技能能够满足对用户服务水平的要求。</w:t>
            </w:r>
            <w:r>
              <w:rPr>
                <w:rFonts w:hint="eastAsia" w:ascii="宋体" w:hAnsi="宋体"/>
                <w:sz w:val="18"/>
                <w:lang w:eastAsia="zh-CN"/>
              </w:rPr>
              <w:t>根据本项目拟派相关人员在该领域内的相关实务经验和研究能力</w:t>
            </w:r>
            <w:r>
              <w:rPr>
                <w:rFonts w:hint="eastAsia" w:ascii="宋体" w:hAnsi="宋体"/>
                <w:sz w:val="18"/>
                <w:lang w:val="en-US" w:eastAsia="zh-CN"/>
              </w:rPr>
              <w:t>(</w:t>
            </w:r>
            <w:r>
              <w:rPr>
                <w:rFonts w:hint="eastAsia" w:ascii="宋体" w:hAnsi="宋体"/>
                <w:sz w:val="18"/>
                <w:lang w:eastAsia="zh-CN"/>
              </w:rPr>
              <w:t>须提供相应证明材料）横向对比酌情得1-5分。服务团队成员具有从事党建、社会工作、非盈利组织管理相关工作经验的，酌情得1-</w:t>
            </w:r>
            <w:r>
              <w:rPr>
                <w:rFonts w:hint="eastAsia" w:ascii="宋体" w:hAnsi="宋体"/>
                <w:sz w:val="18"/>
                <w:lang w:val="en-US" w:eastAsia="zh-CN"/>
              </w:rPr>
              <w:t>4</w:t>
            </w:r>
            <w:r>
              <w:rPr>
                <w:rFonts w:hint="eastAsia" w:ascii="宋体" w:hAnsi="宋体"/>
                <w:sz w:val="18"/>
                <w:lang w:eastAsia="zh-CN"/>
              </w:rPr>
              <w:t>分；服务团队成员具备持证社会工作者的，得2分。党建指导员中有</w:t>
            </w:r>
            <w:r>
              <w:rPr>
                <w:rFonts w:hint="eastAsia" w:ascii="宋体" w:hAnsi="宋体"/>
                <w:sz w:val="18"/>
                <w:lang w:val="en-US" w:eastAsia="zh-CN"/>
              </w:rPr>
              <w:t>1人</w:t>
            </w:r>
            <w:r>
              <w:rPr>
                <w:rFonts w:hint="eastAsia" w:ascii="宋体" w:hAnsi="宋体"/>
                <w:sz w:val="18"/>
                <w:lang w:eastAsia="zh-CN"/>
              </w:rPr>
              <w:t>为中共党员的，得</w:t>
            </w:r>
            <w:r>
              <w:rPr>
                <w:rFonts w:hint="eastAsia" w:ascii="宋体" w:hAnsi="宋体"/>
                <w:sz w:val="18"/>
                <w:lang w:val="en-US" w:eastAsia="zh-CN"/>
              </w:rPr>
              <w:t>2分。</w:t>
            </w:r>
          </w:p>
        </w:tc>
        <w:tc>
          <w:tcPr>
            <w:tcW w:w="705" w:type="dxa"/>
            <w:shd w:val="clear" w:color="auto" w:fill="auto"/>
            <w:vAlign w:val="center"/>
          </w:tcPr>
          <w:p>
            <w:pPr>
              <w:spacing w:line="240" w:lineRule="exact"/>
              <w:jc w:val="center"/>
              <w:rPr>
                <w:rFonts w:ascii="宋体" w:hAnsi="宋体" w:cs="宋体"/>
                <w:kern w:val="0"/>
                <w:sz w:val="18"/>
              </w:rPr>
            </w:pPr>
            <w:r>
              <w:rPr>
                <w:rFonts w:ascii="宋体" w:hAnsi="宋体" w:cs="宋体"/>
                <w:kern w:val="0"/>
                <w:sz w:val="18"/>
              </w:rPr>
              <w:t>0-</w:t>
            </w:r>
            <w:r>
              <w:rPr>
                <w:rFonts w:hint="eastAsia" w:ascii="宋体" w:hAnsi="宋体" w:cs="宋体"/>
                <w:kern w:val="0"/>
                <w:sz w:val="18"/>
              </w:rPr>
              <w:t>15</w:t>
            </w:r>
          </w:p>
        </w:tc>
        <w:tc>
          <w:tcPr>
            <w:tcW w:w="1702" w:type="dxa"/>
            <w:vAlign w:val="center"/>
          </w:tcPr>
          <w:p>
            <w:pPr>
              <w:spacing w:line="240" w:lineRule="exact"/>
              <w:jc w:val="center"/>
              <w:rPr>
                <w:rFonts w:ascii="宋体" w:hAnsi="宋体" w:cs="宋体"/>
                <w:kern w:val="0"/>
                <w:sz w:val="18"/>
              </w:rPr>
            </w:pPr>
          </w:p>
        </w:tc>
        <w:tc>
          <w:tcPr>
            <w:tcW w:w="1702" w:type="dxa"/>
            <w:vAlign w:val="center"/>
          </w:tcPr>
          <w:p>
            <w:pPr>
              <w:spacing w:line="240" w:lineRule="exact"/>
              <w:jc w:val="center"/>
              <w:rPr>
                <w:rFonts w:ascii="宋体" w:hAnsi="宋体" w:cs="宋体"/>
                <w:kern w:val="0"/>
                <w:sz w:val="18"/>
              </w:rPr>
            </w:pPr>
          </w:p>
        </w:tc>
        <w:tc>
          <w:tcPr>
            <w:tcW w:w="1649"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0"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pacing w:line="240" w:lineRule="exact"/>
              <w:jc w:val="center"/>
              <w:rPr>
                <w:rFonts w:ascii="宋体" w:hAnsi="宋体"/>
                <w:sz w:val="18"/>
              </w:rPr>
            </w:pPr>
            <w:r>
              <w:rPr>
                <w:rFonts w:hint="eastAsia" w:ascii="仿宋_GB2312" w:hAnsi="仿宋" w:eastAsia="仿宋_GB2312"/>
                <w:szCs w:val="21"/>
              </w:rPr>
              <w:t>服务保障措施</w:t>
            </w:r>
          </w:p>
        </w:tc>
        <w:tc>
          <w:tcPr>
            <w:tcW w:w="576" w:type="dxa"/>
            <w:shd w:val="clear" w:color="auto" w:fill="auto"/>
            <w:vAlign w:val="center"/>
          </w:tcPr>
          <w:p>
            <w:pPr>
              <w:spacing w:line="240" w:lineRule="exact"/>
              <w:jc w:val="center"/>
              <w:rPr>
                <w:rFonts w:hint="eastAsia" w:ascii="宋体" w:hAnsi="宋体" w:cs="宋体" w:eastAsiaTheme="minorEastAsia"/>
                <w:kern w:val="0"/>
                <w:sz w:val="18"/>
                <w:lang w:val="en-US" w:eastAsia="zh-CN"/>
              </w:rPr>
            </w:pPr>
            <w:r>
              <w:rPr>
                <w:rFonts w:hint="eastAsia" w:ascii="宋体" w:hAnsi="宋体" w:cs="宋体"/>
                <w:kern w:val="0"/>
                <w:sz w:val="18"/>
                <w:lang w:val="en-US" w:eastAsia="zh-CN"/>
              </w:rPr>
              <w:t>5</w:t>
            </w:r>
          </w:p>
        </w:tc>
        <w:tc>
          <w:tcPr>
            <w:tcW w:w="5680" w:type="dxa"/>
            <w:tcBorders/>
            <w:shd w:val="clear" w:color="auto" w:fill="auto"/>
            <w:vAlign w:val="center"/>
          </w:tcPr>
          <w:p>
            <w:pPr>
              <w:snapToGrid w:val="0"/>
              <w:spacing w:line="240" w:lineRule="exact"/>
              <w:rPr>
                <w:rFonts w:hint="eastAsia" w:ascii="宋体" w:hAnsi="宋体"/>
                <w:sz w:val="18"/>
              </w:rPr>
            </w:pPr>
            <w:r>
              <w:rPr>
                <w:rFonts w:hint="eastAsia" w:ascii="宋体" w:hAnsi="宋体"/>
                <w:sz w:val="18"/>
              </w:rPr>
              <w:t>提出了有效的保障措施，能够利用和依托的资源丰富，领导重视，专家水平高，具备处理应急响应的人力资源储备。</w:t>
            </w:r>
          </w:p>
        </w:tc>
        <w:tc>
          <w:tcPr>
            <w:tcW w:w="705" w:type="dxa"/>
            <w:shd w:val="clear" w:color="auto" w:fill="auto"/>
            <w:vAlign w:val="center"/>
          </w:tcPr>
          <w:p>
            <w:pPr>
              <w:spacing w:line="240" w:lineRule="exact"/>
              <w:jc w:val="center"/>
              <w:rPr>
                <w:rFonts w:hint="eastAsia" w:ascii="宋体" w:hAnsi="宋体" w:cs="宋体" w:eastAsiaTheme="minorEastAsia"/>
                <w:kern w:val="0"/>
                <w:sz w:val="18"/>
                <w:lang w:val="en-US" w:eastAsia="zh-CN"/>
              </w:rPr>
            </w:pPr>
            <w:r>
              <w:rPr>
                <w:rFonts w:hint="eastAsia" w:ascii="宋体" w:hAnsi="宋体" w:cs="宋体"/>
                <w:kern w:val="0"/>
                <w:sz w:val="18"/>
              </w:rPr>
              <w:t>0</w:t>
            </w:r>
            <w:r>
              <w:rPr>
                <w:rFonts w:ascii="宋体" w:hAnsi="宋体" w:cs="宋体"/>
                <w:kern w:val="0"/>
                <w:sz w:val="18"/>
              </w:rPr>
              <w:t>-</w:t>
            </w:r>
            <w:r>
              <w:rPr>
                <w:rFonts w:hint="eastAsia" w:ascii="宋体" w:hAnsi="宋体" w:cs="宋体"/>
                <w:kern w:val="0"/>
                <w:sz w:val="18"/>
                <w:lang w:val="en-US" w:eastAsia="zh-CN"/>
              </w:rPr>
              <w:t>5</w:t>
            </w:r>
          </w:p>
        </w:tc>
        <w:tc>
          <w:tcPr>
            <w:tcW w:w="1702" w:type="dxa"/>
            <w:vAlign w:val="center"/>
          </w:tcPr>
          <w:p>
            <w:pPr>
              <w:spacing w:line="240" w:lineRule="exact"/>
              <w:jc w:val="center"/>
              <w:rPr>
                <w:rFonts w:ascii="宋体" w:hAnsi="宋体" w:cs="宋体"/>
                <w:kern w:val="0"/>
                <w:sz w:val="18"/>
              </w:rPr>
            </w:pPr>
          </w:p>
        </w:tc>
        <w:tc>
          <w:tcPr>
            <w:tcW w:w="1702" w:type="dxa"/>
            <w:vAlign w:val="center"/>
          </w:tcPr>
          <w:p>
            <w:pPr>
              <w:spacing w:line="240" w:lineRule="exact"/>
              <w:jc w:val="center"/>
              <w:rPr>
                <w:rFonts w:ascii="宋体" w:hAnsi="宋体" w:cs="宋体"/>
                <w:kern w:val="0"/>
                <w:sz w:val="18"/>
              </w:rPr>
            </w:pPr>
          </w:p>
        </w:tc>
        <w:tc>
          <w:tcPr>
            <w:tcW w:w="1649"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3</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响应报价（10分）</w:t>
            </w:r>
          </w:p>
        </w:tc>
        <w:tc>
          <w:tcPr>
            <w:tcW w:w="7023" w:type="dxa"/>
            <w:gridSpan w:val="3"/>
            <w:shd w:val="clear" w:color="auto" w:fill="auto"/>
            <w:vAlign w:val="center"/>
          </w:tcPr>
          <w:p>
            <w:pPr>
              <w:snapToGrid w:val="0"/>
              <w:spacing w:line="240" w:lineRule="exact"/>
              <w:rPr>
                <w:rFonts w:ascii="宋体" w:hAnsi="宋体" w:cs="宋体"/>
                <w:kern w:val="0"/>
                <w:sz w:val="18"/>
              </w:rPr>
            </w:pPr>
            <w:r>
              <w:rPr>
                <w:rFonts w:ascii="宋体" w:hAnsi="宋体"/>
                <w:sz w:val="18"/>
              </w:rPr>
              <w:t>A.</w:t>
            </w:r>
            <w:r>
              <w:rPr>
                <w:rFonts w:hint="eastAsia" w:ascii="宋体" w:hAnsi="宋体"/>
                <w:sz w:val="18"/>
              </w:rPr>
              <w:t>基准标价得分为10分。</w:t>
            </w:r>
            <w:r>
              <w:rPr>
                <w:rFonts w:ascii="宋体" w:hAnsi="宋体"/>
                <w:sz w:val="18"/>
              </w:rPr>
              <w:t>B.</w:t>
            </w:r>
            <w:r>
              <w:rPr>
                <w:rFonts w:hint="eastAsia" w:ascii="宋体" w:hAnsi="宋体"/>
                <w:sz w:val="18"/>
              </w:rPr>
              <w:t>基准价为响应报价的最低价格。</w:t>
            </w:r>
            <w:r>
              <w:rPr>
                <w:rFonts w:ascii="宋体" w:hAnsi="宋体"/>
                <w:sz w:val="18"/>
              </w:rPr>
              <w:t>C.</w:t>
            </w:r>
            <w:r>
              <w:rPr>
                <w:rFonts w:hint="eastAsia" w:ascii="宋体" w:hAnsi="宋体"/>
                <w:sz w:val="18"/>
              </w:rPr>
              <w:t>当响应报价高于基准标价时，价格得分=(基准价/响应报价) X10。</w:t>
            </w:r>
            <w:r>
              <w:rPr>
                <w:rFonts w:ascii="宋体" w:hAnsi="宋体"/>
                <w:sz w:val="18"/>
              </w:rPr>
              <w:t>D.</w:t>
            </w:r>
            <w:r>
              <w:rPr>
                <w:rFonts w:hint="eastAsia" w:ascii="宋体" w:hAnsi="宋体"/>
                <w:sz w:val="18"/>
              </w:rPr>
              <w:t>计算分值精确至小数点后两位。</w:t>
            </w:r>
          </w:p>
        </w:tc>
        <w:tc>
          <w:tcPr>
            <w:tcW w:w="705"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1702" w:type="dxa"/>
            <w:vAlign w:val="center"/>
          </w:tcPr>
          <w:p>
            <w:pPr>
              <w:spacing w:line="240" w:lineRule="exact"/>
              <w:jc w:val="center"/>
              <w:rPr>
                <w:rFonts w:ascii="宋体" w:hAnsi="宋体" w:cs="宋体"/>
                <w:kern w:val="0"/>
                <w:sz w:val="18"/>
              </w:rPr>
            </w:pPr>
          </w:p>
        </w:tc>
        <w:tc>
          <w:tcPr>
            <w:tcW w:w="1702" w:type="dxa"/>
            <w:vAlign w:val="center"/>
          </w:tcPr>
          <w:p>
            <w:pPr>
              <w:spacing w:line="240" w:lineRule="exact"/>
              <w:jc w:val="center"/>
              <w:rPr>
                <w:rFonts w:ascii="宋体" w:hAnsi="宋体" w:cs="宋体"/>
                <w:kern w:val="0"/>
                <w:sz w:val="18"/>
              </w:rPr>
            </w:pPr>
          </w:p>
        </w:tc>
        <w:tc>
          <w:tcPr>
            <w:tcW w:w="1649"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 w:hRule="atLeast"/>
        </w:trPr>
        <w:tc>
          <w:tcPr>
            <w:tcW w:w="424"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4</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得分合计</w:t>
            </w:r>
          </w:p>
        </w:tc>
        <w:tc>
          <w:tcPr>
            <w:tcW w:w="7023" w:type="dxa"/>
            <w:gridSpan w:val="3"/>
            <w:shd w:val="clear" w:color="auto" w:fill="auto"/>
            <w:vAlign w:val="center"/>
          </w:tcPr>
          <w:p>
            <w:pPr>
              <w:spacing w:line="240" w:lineRule="exact"/>
              <w:rPr>
                <w:rFonts w:ascii="宋体" w:hAnsi="宋体" w:cs="宋体"/>
                <w:b/>
                <w:kern w:val="0"/>
                <w:sz w:val="18"/>
              </w:rPr>
            </w:pPr>
          </w:p>
        </w:tc>
        <w:tc>
          <w:tcPr>
            <w:tcW w:w="705" w:type="dxa"/>
            <w:shd w:val="clear" w:color="auto" w:fill="auto"/>
            <w:vAlign w:val="center"/>
          </w:tcPr>
          <w:p>
            <w:pPr>
              <w:spacing w:line="240" w:lineRule="exact"/>
              <w:rPr>
                <w:rFonts w:ascii="宋体" w:hAnsi="宋体" w:cs="宋体"/>
                <w:b/>
                <w:kern w:val="0"/>
                <w:sz w:val="18"/>
              </w:rPr>
            </w:pPr>
          </w:p>
        </w:tc>
        <w:tc>
          <w:tcPr>
            <w:tcW w:w="1702" w:type="dxa"/>
            <w:vAlign w:val="center"/>
          </w:tcPr>
          <w:p>
            <w:pPr>
              <w:spacing w:line="240" w:lineRule="exact"/>
              <w:jc w:val="center"/>
              <w:rPr>
                <w:rFonts w:ascii="宋体" w:hAnsi="宋体" w:cs="宋体"/>
                <w:b/>
                <w:kern w:val="0"/>
                <w:sz w:val="18"/>
              </w:rPr>
            </w:pPr>
          </w:p>
        </w:tc>
        <w:tc>
          <w:tcPr>
            <w:tcW w:w="1702" w:type="dxa"/>
            <w:vAlign w:val="center"/>
          </w:tcPr>
          <w:p>
            <w:pPr>
              <w:spacing w:line="240" w:lineRule="exact"/>
              <w:jc w:val="center"/>
              <w:rPr>
                <w:rFonts w:ascii="宋体" w:hAnsi="宋体" w:cs="宋体"/>
                <w:b/>
                <w:kern w:val="0"/>
                <w:sz w:val="18"/>
              </w:rPr>
            </w:pPr>
          </w:p>
        </w:tc>
        <w:tc>
          <w:tcPr>
            <w:tcW w:w="1649" w:type="dxa"/>
            <w:vAlign w:val="center"/>
          </w:tcPr>
          <w:p>
            <w:pPr>
              <w:spacing w:line="240" w:lineRule="exact"/>
              <w:jc w:val="center"/>
              <w:rPr>
                <w:rFonts w:ascii="宋体" w:hAnsi="宋体" w:cs="宋体"/>
                <w:b/>
                <w:kern w:val="0"/>
                <w:sz w:val="18"/>
              </w:rPr>
            </w:pPr>
          </w:p>
        </w:tc>
      </w:tr>
    </w:tbl>
    <w:p>
      <w:pPr>
        <w:ind w:firstLine="420" w:firstLineChars="200"/>
        <w:rPr>
          <w:rFonts w:ascii="宋体" w:eastAsia="宋体" w:hAnsiTheme="minorEastAsia"/>
        </w:rPr>
      </w:pPr>
      <w:r>
        <w:rPr>
          <w:rFonts w:hint="eastAsia" w:ascii="宋体-18030" w:hAnsi="宋体-18030" w:eastAsia="宋体-18030" w:cs="宋体-18030"/>
          <w:color w:val="000000"/>
          <w:kern w:val="0"/>
          <w:szCs w:val="21"/>
        </w:rPr>
        <w:t>评委签名：</w:t>
      </w:r>
    </w:p>
    <w:sectPr>
      <w:footerReference r:id="rId3" w:type="default"/>
      <w:footerReference r:id="rId4" w:type="even"/>
      <w:pgSz w:w="16838" w:h="11906" w:orient="landscape"/>
      <w:pgMar w:top="568" w:right="1440" w:bottom="993" w:left="1440"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panose1 w:val="02010609060101010101"/>
    <w:charset w:val="86"/>
    <w:family w:val="modern"/>
    <w:pitch w:val="default"/>
    <w:sig w:usb0="800022A7" w:usb1="880F3C78" w:usb2="000A005E"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6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4B98"/>
    <w:rsid w:val="00031CAC"/>
    <w:rsid w:val="000833A7"/>
    <w:rsid w:val="000F1DED"/>
    <w:rsid w:val="001327FE"/>
    <w:rsid w:val="00136678"/>
    <w:rsid w:val="0015451D"/>
    <w:rsid w:val="00191044"/>
    <w:rsid w:val="001A31A8"/>
    <w:rsid w:val="001A7728"/>
    <w:rsid w:val="001B4340"/>
    <w:rsid w:val="001D50FE"/>
    <w:rsid w:val="001D6A0A"/>
    <w:rsid w:val="001E11C0"/>
    <w:rsid w:val="001E13B6"/>
    <w:rsid w:val="001E25CD"/>
    <w:rsid w:val="0022363D"/>
    <w:rsid w:val="00232050"/>
    <w:rsid w:val="00232F99"/>
    <w:rsid w:val="00240C43"/>
    <w:rsid w:val="00254244"/>
    <w:rsid w:val="00285A91"/>
    <w:rsid w:val="00287C13"/>
    <w:rsid w:val="002929F8"/>
    <w:rsid w:val="002A43E8"/>
    <w:rsid w:val="002B7AE5"/>
    <w:rsid w:val="002E56E3"/>
    <w:rsid w:val="0030766B"/>
    <w:rsid w:val="00321AAC"/>
    <w:rsid w:val="003464D0"/>
    <w:rsid w:val="00361799"/>
    <w:rsid w:val="003B2381"/>
    <w:rsid w:val="003B3BA7"/>
    <w:rsid w:val="003B3E2D"/>
    <w:rsid w:val="003D0874"/>
    <w:rsid w:val="003D61A9"/>
    <w:rsid w:val="003E76FA"/>
    <w:rsid w:val="004000DF"/>
    <w:rsid w:val="00492266"/>
    <w:rsid w:val="004C16AB"/>
    <w:rsid w:val="00500344"/>
    <w:rsid w:val="0052564A"/>
    <w:rsid w:val="005325CC"/>
    <w:rsid w:val="0054637B"/>
    <w:rsid w:val="005739B4"/>
    <w:rsid w:val="005929DB"/>
    <w:rsid w:val="00595425"/>
    <w:rsid w:val="005F1E8C"/>
    <w:rsid w:val="005F37A1"/>
    <w:rsid w:val="00603B58"/>
    <w:rsid w:val="00660165"/>
    <w:rsid w:val="0066219F"/>
    <w:rsid w:val="00673896"/>
    <w:rsid w:val="006872EF"/>
    <w:rsid w:val="006925ED"/>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967A3"/>
    <w:rsid w:val="007D058C"/>
    <w:rsid w:val="007E54FB"/>
    <w:rsid w:val="007E7541"/>
    <w:rsid w:val="007F74DE"/>
    <w:rsid w:val="00823216"/>
    <w:rsid w:val="0082461F"/>
    <w:rsid w:val="00827EFC"/>
    <w:rsid w:val="00853621"/>
    <w:rsid w:val="00854A84"/>
    <w:rsid w:val="008623BA"/>
    <w:rsid w:val="008776E5"/>
    <w:rsid w:val="008810BC"/>
    <w:rsid w:val="00881ED0"/>
    <w:rsid w:val="008922AC"/>
    <w:rsid w:val="00901916"/>
    <w:rsid w:val="009106B2"/>
    <w:rsid w:val="00936845"/>
    <w:rsid w:val="00962C61"/>
    <w:rsid w:val="00985269"/>
    <w:rsid w:val="009976C4"/>
    <w:rsid w:val="009B108A"/>
    <w:rsid w:val="009E05E3"/>
    <w:rsid w:val="009E0B3B"/>
    <w:rsid w:val="00A101BD"/>
    <w:rsid w:val="00A1206D"/>
    <w:rsid w:val="00A36663"/>
    <w:rsid w:val="00A467DB"/>
    <w:rsid w:val="00AA0931"/>
    <w:rsid w:val="00AE0B2B"/>
    <w:rsid w:val="00AF2AA0"/>
    <w:rsid w:val="00B1328E"/>
    <w:rsid w:val="00B1643C"/>
    <w:rsid w:val="00B23F6E"/>
    <w:rsid w:val="00B33BB0"/>
    <w:rsid w:val="00BA04E8"/>
    <w:rsid w:val="00BA130C"/>
    <w:rsid w:val="00C10A0B"/>
    <w:rsid w:val="00C177AB"/>
    <w:rsid w:val="00C331F6"/>
    <w:rsid w:val="00C415E6"/>
    <w:rsid w:val="00C82B87"/>
    <w:rsid w:val="00CA371F"/>
    <w:rsid w:val="00CC4521"/>
    <w:rsid w:val="00D30C9B"/>
    <w:rsid w:val="00D930CC"/>
    <w:rsid w:val="00DB5878"/>
    <w:rsid w:val="00DD1C41"/>
    <w:rsid w:val="00DF54B9"/>
    <w:rsid w:val="00E13F34"/>
    <w:rsid w:val="00E412F0"/>
    <w:rsid w:val="00E9091D"/>
    <w:rsid w:val="00E971A6"/>
    <w:rsid w:val="00EA0020"/>
    <w:rsid w:val="00EB323E"/>
    <w:rsid w:val="00EC13EA"/>
    <w:rsid w:val="00EC1C76"/>
    <w:rsid w:val="00EC4B98"/>
    <w:rsid w:val="00EF1E01"/>
    <w:rsid w:val="00F21E20"/>
    <w:rsid w:val="00F45090"/>
    <w:rsid w:val="00F50973"/>
    <w:rsid w:val="00F53B68"/>
    <w:rsid w:val="16D761A0"/>
    <w:rsid w:val="23547CFE"/>
    <w:rsid w:val="24597C72"/>
    <w:rsid w:val="2B60498E"/>
    <w:rsid w:val="499D0BDE"/>
    <w:rsid w:val="51C168C1"/>
    <w:rsid w:val="700E5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ody Text Indent 2"/>
    <w:basedOn w:val="1"/>
    <w:link w:val="18"/>
    <w:qFormat/>
    <w:uiPriority w:val="0"/>
    <w:pPr>
      <w:spacing w:line="360" w:lineRule="auto"/>
      <w:ind w:left="359" w:leftChars="171" w:firstLine="560" w:firstLineChars="200"/>
    </w:pPr>
    <w:rPr>
      <w:rFonts w:ascii="仿宋_GB2312"/>
      <w:bCs/>
      <w:sz w:val="28"/>
      <w:szCs w:val="24"/>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styleId="10">
    <w:name w:val="Hyperlink"/>
    <w:basedOn w:val="9"/>
    <w:semiHidden/>
    <w:unhideWhenUsed/>
    <w:qFormat/>
    <w:uiPriority w:val="99"/>
    <w:rPr>
      <w:color w:val="404040"/>
      <w:u w:val="none"/>
    </w:rPr>
  </w:style>
  <w:style w:type="character" w:customStyle="1" w:styleId="11">
    <w:name w:val="标题 1 Char"/>
    <w:basedOn w:val="9"/>
    <w:link w:val="2"/>
    <w:uiPriority w:val="9"/>
    <w:rPr>
      <w:rFonts w:ascii="宋体" w:hAnsi="宋体" w:eastAsia="宋体" w:cs="宋体"/>
      <w:b/>
      <w:bCs/>
      <w:kern w:val="36"/>
      <w:sz w:val="24"/>
      <w:szCs w:val="24"/>
    </w:rPr>
  </w:style>
  <w:style w:type="character" w:customStyle="1" w:styleId="12">
    <w:name w:val="f-fr"/>
    <w:basedOn w:val="9"/>
    <w:qFormat/>
    <w:uiPriority w:val="0"/>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日期 Char"/>
    <w:basedOn w:val="9"/>
    <w:link w:val="3"/>
    <w:semiHidden/>
    <w:qFormat/>
    <w:uiPriority w:val="99"/>
  </w:style>
  <w:style w:type="character" w:customStyle="1" w:styleId="16">
    <w:name w:val="HTML 预设格式 Char"/>
    <w:link w:val="7"/>
    <w:qFormat/>
    <w:uiPriority w:val="0"/>
    <w:rPr>
      <w:rFonts w:ascii="宋体" w:hAnsi="宋体"/>
      <w:sz w:val="24"/>
    </w:rPr>
  </w:style>
  <w:style w:type="character" w:customStyle="1" w:styleId="17">
    <w:name w:val="HTML 预设格式 Char1"/>
    <w:basedOn w:val="9"/>
    <w:semiHidden/>
    <w:qFormat/>
    <w:uiPriority w:val="99"/>
    <w:rPr>
      <w:rFonts w:ascii="Courier New" w:hAnsi="Courier New" w:cs="Courier New"/>
      <w:sz w:val="20"/>
      <w:szCs w:val="20"/>
    </w:rPr>
  </w:style>
  <w:style w:type="character" w:customStyle="1" w:styleId="18">
    <w:name w:val="正文文本缩进 2 Char"/>
    <w:link w:val="4"/>
    <w:qFormat/>
    <w:uiPriority w:val="0"/>
    <w:rPr>
      <w:rFonts w:ascii="仿宋_GB2312"/>
      <w:bCs/>
      <w:sz w:val="28"/>
      <w:szCs w:val="24"/>
    </w:rPr>
  </w:style>
  <w:style w:type="character" w:customStyle="1" w:styleId="19">
    <w:name w:val="正文文本缩进 2 Char1"/>
    <w:basedOn w:val="9"/>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658</Words>
  <Characters>3752</Characters>
  <Lines>31</Lines>
  <Paragraphs>8</Paragraphs>
  <TotalTime>3</TotalTime>
  <ScaleCrop>false</ScaleCrop>
  <LinksUpToDate>false</LinksUpToDate>
  <CharactersWithSpaces>4402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2018-05-15T08:56:00Z</dcterms:created>
  <dc:creator>王剑</dc:creator>
  <cp:lastModifiedBy>yao</cp:lastModifiedBy>
  <cp:lastPrinted>2019-02-14T02:22:00Z</cp:lastPrinted>
  <dcterms:modified xsi:type="dcterms:W3CDTF">2019-04-08T03:00:44Z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