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黑体" w:hAnsi="黑体" w:eastAsia="黑体" w:cs="宋体"/>
          <w:color w:val="000000"/>
          <w:kern w:val="0"/>
          <w:sz w:val="32"/>
          <w:szCs w:val="32"/>
        </w:rPr>
      </w:pPr>
      <w:r>
        <w:rPr>
          <w:rFonts w:ascii="仿宋_GB2312" w:eastAsia="仿宋_GB2312" w:cs="仿宋_GB2312"/>
          <w:sz w:val="32"/>
          <w:szCs w:val="32"/>
        </w:rPr>
        <w:t xml:space="preserve"> </w:t>
      </w:r>
      <w:r>
        <w:rPr>
          <w:rFonts w:hint="eastAsia" w:ascii="黑体" w:hAnsi="黑体" w:eastAsia="黑体" w:cs="宋体"/>
          <w:color w:val="000000"/>
          <w:kern w:val="0"/>
          <w:sz w:val="32"/>
          <w:szCs w:val="32"/>
        </w:rPr>
        <w:t>附件：</w:t>
      </w:r>
    </w:p>
    <w:p>
      <w:pPr>
        <w:widowControl/>
        <w:shd w:val="clear" w:color="auto" w:fill="FFFFFF"/>
        <w:spacing w:line="560" w:lineRule="exact"/>
        <w:jc w:val="center"/>
        <w:rPr>
          <w:rFonts w:ascii="华文中宋" w:hAnsi="华文中宋" w:eastAsia="华文中宋" w:cs="Times New Roman"/>
          <w:b/>
          <w:sz w:val="44"/>
          <w:szCs w:val="44"/>
        </w:rPr>
      </w:pPr>
      <w:bookmarkStart w:id="0" w:name="_GoBack"/>
      <w:r>
        <w:rPr>
          <w:rFonts w:hint="eastAsia" w:ascii="华文中宋" w:hAnsi="华文中宋" w:eastAsia="华文中宋" w:cs="宋体"/>
          <w:b/>
          <w:color w:val="000000"/>
          <w:kern w:val="0"/>
          <w:sz w:val="44"/>
          <w:szCs w:val="44"/>
        </w:rPr>
        <w:t>北京市残疾人联合会</w:t>
      </w:r>
      <w:r>
        <w:rPr>
          <w:rFonts w:ascii="Times New Roman" w:hAnsi="Times New Roman" w:eastAsia="华文中宋" w:cs="Times New Roman"/>
          <w:b/>
          <w:color w:val="000000"/>
          <w:kern w:val="0"/>
          <w:sz w:val="44"/>
          <w:szCs w:val="44"/>
        </w:rPr>
        <w:t>2018年残</w:t>
      </w:r>
      <w:r>
        <w:rPr>
          <w:rFonts w:hint="eastAsia" w:ascii="华文中宋" w:hAnsi="华文中宋" w:eastAsia="华文中宋" w:cs="宋体"/>
          <w:b/>
          <w:color w:val="000000"/>
          <w:kern w:val="0"/>
          <w:sz w:val="44"/>
          <w:szCs w:val="44"/>
        </w:rPr>
        <w:t>疾人创业培训项目综合打分表</w:t>
      </w:r>
    </w:p>
    <w:bookmarkEnd w:id="0"/>
    <w:p>
      <w:pPr>
        <w:ind w:firstLine="640" w:firstLineChars="200"/>
        <w:rPr>
          <w:rFonts w:ascii="宋体-18030" w:hAnsi="宋体-18030" w:eastAsia="宋体-18030" w:cs="宋体-18030"/>
          <w:color w:val="000000"/>
          <w:kern w:val="0"/>
          <w:sz w:val="32"/>
          <w:u w:val="single"/>
        </w:rPr>
      </w:pPr>
      <w:r>
        <w:rPr>
          <w:rFonts w:hint="eastAsia" w:ascii="宋体-18030" w:hAnsi="宋体-18030" w:eastAsia="宋体-18030" w:cs="宋体-18030"/>
          <w:color w:val="000000"/>
          <w:kern w:val="0"/>
          <w:sz w:val="32"/>
        </w:rPr>
        <w:t>制表单位：</w:t>
      </w:r>
      <w:r>
        <w:rPr>
          <w:rFonts w:hint="eastAsia" w:ascii="宋体-18030" w:hAnsi="宋体-18030" w:eastAsia="宋体-18030" w:cs="宋体-18030"/>
          <w:color w:val="000000"/>
          <w:kern w:val="0"/>
          <w:sz w:val="32"/>
          <w:u w:val="single"/>
        </w:rPr>
        <w:t xml:space="preserve">                 </w:t>
      </w:r>
      <w:r>
        <w:rPr>
          <w:rFonts w:hint="eastAsia" w:ascii="宋体-18030" w:hAnsi="宋体-18030" w:eastAsia="宋体-18030" w:cs="宋体-18030"/>
          <w:color w:val="000000"/>
          <w:kern w:val="0"/>
          <w:sz w:val="32"/>
        </w:rPr>
        <w:t xml:space="preserve">               日期：</w:t>
      </w:r>
      <w:r>
        <w:rPr>
          <w:rFonts w:hint="eastAsia" w:ascii="宋体-18030" w:hAnsi="宋体-18030" w:eastAsia="宋体-18030" w:cs="宋体-18030"/>
          <w:color w:val="000000"/>
          <w:kern w:val="0"/>
          <w:sz w:val="32"/>
          <w:u w:val="single"/>
        </w:rPr>
        <w:t xml:space="preserve">                    </w:t>
      </w:r>
    </w:p>
    <w:tbl>
      <w:tblPr>
        <w:tblStyle w:val="10"/>
        <w:tblW w:w="14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1027"/>
        <w:gridCol w:w="1318"/>
        <w:gridCol w:w="5895"/>
        <w:gridCol w:w="1338"/>
        <w:gridCol w:w="1202"/>
        <w:gridCol w:w="134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序号</w:t>
            </w:r>
          </w:p>
        </w:tc>
        <w:tc>
          <w:tcPr>
            <w:tcW w:w="102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项目</w:t>
            </w:r>
          </w:p>
        </w:tc>
        <w:tc>
          <w:tcPr>
            <w:tcW w:w="13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标准分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评分标准</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分值</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得分1</w:t>
            </w: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得分2</w:t>
            </w: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eastAsia="仿宋_GB2312" w:cs="Times New Roman"/>
                <w:b/>
                <w:spacing w:val="20"/>
                <w:kern w:val="0"/>
              </w:rPr>
            </w:pPr>
            <w:r>
              <w:rPr>
                <w:rFonts w:ascii="Times New Roman" w:hAnsi="Times New Roman" w:eastAsia="仿宋_GB2312" w:cs="Times New Roman"/>
                <w:b/>
                <w:spacing w:val="20"/>
                <w:kern w:val="0"/>
              </w:rPr>
              <w: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w:t>
            </w:r>
          </w:p>
        </w:tc>
        <w:tc>
          <w:tcPr>
            <w:tcW w:w="102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商务部分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（30分）</w:t>
            </w:r>
          </w:p>
        </w:tc>
        <w:tc>
          <w:tcPr>
            <w:tcW w:w="1318"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机构资质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机构相关资格证明文件（企业法人营业执照、机构登记证书或其他组织证书）、机构法定代表人身份证复印件、法定代表人授权证书、受委托人身份证复印件</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0-4分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机构财务条件具有履约能力（近六个月内任三个月依法缴纳税收和社会保障金的凭证复印件）</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0-4分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机构信用证明材料或近三年内在经营活动中没有重大违法记录的书面声明，并加盖公章</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0-2分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相关业绩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（20分）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在相关领域具有</w:t>
            </w:r>
            <w:r>
              <w:rPr>
                <w:rFonts w:hint="eastAsia" w:ascii="Times New Roman" w:hAnsi="Times New Roman" w:eastAsia="仿宋_GB2312" w:cs="Times New Roman"/>
                <w:kern w:val="0"/>
              </w:rPr>
              <w:t>创业培训</w:t>
            </w:r>
            <w:r>
              <w:rPr>
                <w:rFonts w:ascii="Times New Roman" w:hAnsi="Times New Roman" w:eastAsia="仿宋_GB2312" w:cs="Times New Roman"/>
                <w:kern w:val="0"/>
              </w:rPr>
              <w:t>经验，每提供一份合同复印件（含合同首页、内容所在页、合同金额页、签字盖章页）得</w:t>
            </w:r>
            <w:r>
              <w:rPr>
                <w:rFonts w:hint="eastAsia" w:ascii="Times New Roman" w:hAnsi="Times New Roman" w:eastAsia="仿宋_GB2312" w:cs="Times New Roman"/>
                <w:kern w:val="0"/>
              </w:rPr>
              <w:t>4</w:t>
            </w:r>
            <w:r>
              <w:rPr>
                <w:rFonts w:ascii="Times New Roman" w:hAnsi="Times New Roman" w:eastAsia="仿宋_GB2312" w:cs="Times New Roman"/>
                <w:kern w:val="0"/>
              </w:rPr>
              <w:t>分，最高得</w:t>
            </w:r>
            <w:r>
              <w:rPr>
                <w:rFonts w:hint="eastAsia" w:ascii="Times New Roman" w:hAnsi="Times New Roman" w:eastAsia="仿宋_GB2312" w:cs="Times New Roman"/>
                <w:kern w:val="0"/>
              </w:rPr>
              <w:t>20</w:t>
            </w:r>
            <w:r>
              <w:rPr>
                <w:rFonts w:ascii="Times New Roman" w:hAnsi="Times New Roman" w:eastAsia="仿宋_GB2312" w:cs="Times New Roman"/>
                <w:kern w:val="0"/>
              </w:rPr>
              <w:t>分</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0-20分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2</w:t>
            </w:r>
          </w:p>
        </w:tc>
        <w:tc>
          <w:tcPr>
            <w:tcW w:w="102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技术部分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（60分）</w:t>
            </w:r>
          </w:p>
        </w:tc>
        <w:tc>
          <w:tcPr>
            <w:tcW w:w="13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hint="eastAsia" w:ascii="Times New Roman" w:hAnsi="Times New Roman" w:eastAsia="仿宋_GB2312" w:cs="Times New Roman"/>
                <w:kern w:val="0"/>
              </w:rPr>
              <w:t>响应文件</w:t>
            </w:r>
            <w:r>
              <w:rPr>
                <w:rFonts w:ascii="Times New Roman" w:hAnsi="Times New Roman" w:eastAsia="仿宋_GB2312" w:cs="Times New Roman"/>
                <w:kern w:val="0"/>
              </w:rPr>
              <w:t>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内容准确且全面，满足本项目的需求，文字流畅、思路清晰、层次分明、具有实操性</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0-10分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技术方案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（40分）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hint="eastAsia" w:ascii="Times New Roman" w:hAnsi="Times New Roman" w:eastAsia="仿宋_GB2312" w:cs="Times New Roman"/>
                <w:kern w:val="0"/>
              </w:rPr>
              <w:t>培训</w:t>
            </w:r>
            <w:r>
              <w:rPr>
                <w:rFonts w:ascii="Times New Roman" w:hAnsi="Times New Roman" w:eastAsia="仿宋_GB2312" w:cs="Times New Roman"/>
                <w:kern w:val="0"/>
              </w:rPr>
              <w:t>方案内容详实，目标明确</w:t>
            </w:r>
            <w:r>
              <w:rPr>
                <w:rFonts w:hint="eastAsia" w:ascii="Times New Roman" w:hAnsi="Times New Roman" w:eastAsia="仿宋_GB2312" w:cs="Times New Roman"/>
                <w:kern w:val="0"/>
              </w:rPr>
              <w:t>，课程设置清晰、针对性强，能够达到项目提出的培训目标</w:t>
            </w:r>
            <w:r>
              <w:rPr>
                <w:rFonts w:ascii="Times New Roman" w:hAnsi="Times New Roman" w:eastAsia="仿宋_GB2312" w:cs="Times New Roman"/>
                <w:kern w:val="0"/>
              </w:rPr>
              <w:t xml:space="preserve"> </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0-20分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具有项目需要的专业团队</w:t>
            </w:r>
            <w:r>
              <w:rPr>
                <w:rFonts w:hint="eastAsia" w:ascii="Times New Roman" w:hAnsi="Times New Roman" w:eastAsia="仿宋_GB2312" w:cs="Times New Roman"/>
                <w:kern w:val="0"/>
              </w:rPr>
              <w:t>，培训导师专业知识、教学经验丰富，行业内具有一定权威性</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0-20分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02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服务和承诺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提出了有效的保障措施、组织管理水平高、各工作职责明确</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0-10分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6" w:hRule="atLeast"/>
        </w:trPr>
        <w:tc>
          <w:tcPr>
            <w:tcW w:w="73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3</w:t>
            </w:r>
          </w:p>
        </w:tc>
        <w:tc>
          <w:tcPr>
            <w:tcW w:w="102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响应报价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13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报价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589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价格分采用低价优先法，即满足采购文件要求且价格最低的报价为基准价，其价格分为满分，其他服务商的价格分统一按下列公式计算：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响应报价得分=（基准价/响应报价）X10</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trPr>
        <w:tc>
          <w:tcPr>
            <w:tcW w:w="73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4</w:t>
            </w:r>
          </w:p>
        </w:tc>
        <w:tc>
          <w:tcPr>
            <w:tcW w:w="8240" w:type="dxa"/>
            <w:gridSpan w:val="3"/>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合计</w:t>
            </w:r>
          </w:p>
        </w:tc>
        <w:tc>
          <w:tcPr>
            <w:tcW w:w="133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r>
              <w:rPr>
                <w:rFonts w:ascii="Times New Roman" w:hAnsi="Times New Roman" w:eastAsia="仿宋_GB2312" w:cs="Times New Roman"/>
                <w:kern w:val="0"/>
              </w:rPr>
              <w:t>100分</w:t>
            </w:r>
          </w:p>
        </w:tc>
        <w:tc>
          <w:tcPr>
            <w:tcW w:w="120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34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c>
          <w:tcPr>
            <w:tcW w:w="169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eastAsia="仿宋_GB2312" w:cs="Times New Roman"/>
                <w:kern w:val="0"/>
              </w:rPr>
            </w:pPr>
          </w:p>
        </w:tc>
      </w:tr>
    </w:tbl>
    <w:p>
      <w:pPr>
        <w:ind w:firstLine="640" w:firstLineChars="200"/>
        <w:rPr>
          <w:rFonts w:ascii="宋体-18030" w:hAnsi="宋体-18030" w:eastAsia="宋体-18030" w:cs="宋体-18030"/>
          <w:color w:val="000000"/>
          <w:kern w:val="0"/>
          <w:sz w:val="32"/>
        </w:rPr>
      </w:pPr>
      <w:r>
        <w:rPr>
          <w:rFonts w:hint="eastAsia" w:ascii="宋体-18030" w:hAnsi="宋体-18030" w:eastAsia="宋体-18030" w:cs="宋体-18030"/>
          <w:color w:val="000000"/>
          <w:kern w:val="0"/>
          <w:sz w:val="32"/>
        </w:rPr>
        <w:t>评委签名：</w:t>
      </w:r>
    </w:p>
    <w:p>
      <w:pPr>
        <w:adjustRightInd w:val="0"/>
        <w:snapToGrid w:val="0"/>
        <w:spacing w:before="156" w:beforeLines="50" w:line="360" w:lineRule="auto"/>
        <w:jc w:val="center"/>
        <w:rPr>
          <w:rFonts w:ascii="华文中宋" w:hAnsi="华文中宋" w:eastAsia="华文中宋"/>
          <w:b/>
          <w:sz w:val="44"/>
          <w:szCs w:val="44"/>
        </w:rPr>
      </w:pPr>
      <w:r>
        <w:br w:type="page"/>
      </w:r>
      <w:r>
        <w:rPr>
          <w:rFonts w:hint="eastAsia" w:ascii="华文中宋" w:hAnsi="华文中宋" w:eastAsia="华文中宋"/>
          <w:b/>
          <w:sz w:val="44"/>
          <w:szCs w:val="44"/>
        </w:rPr>
        <w:t>价格分计算表</w:t>
      </w:r>
    </w:p>
    <w:p>
      <w:pPr>
        <w:adjustRightInd w:val="0"/>
        <w:snapToGrid w:val="0"/>
        <w:spacing w:before="156" w:beforeLines="50" w:line="360" w:lineRule="auto"/>
        <w:ind w:firstLine="422" w:firstLineChars="200"/>
      </w:pPr>
      <w:r>
        <w:rPr>
          <w:rFonts w:hint="eastAsia"/>
          <w:b/>
        </w:rPr>
        <w:t>项目名称：残疾人创业培训项目</w:t>
      </w:r>
    </w:p>
    <w:p>
      <w:pPr>
        <w:adjustRightInd w:val="0"/>
        <w:snapToGrid w:val="0"/>
        <w:spacing w:before="156" w:beforeLines="50" w:line="360" w:lineRule="auto"/>
        <w:ind w:firstLine="422" w:firstLineChars="200"/>
      </w:pPr>
      <w:r>
        <w:rPr>
          <w:rFonts w:hint="eastAsia"/>
          <w:b/>
        </w:rPr>
        <w:t>采购时间：</w:t>
      </w:r>
      <w:r>
        <w:rPr>
          <w:rFonts w:hint="eastAsia"/>
        </w:rPr>
        <w:t>2018年   月    日</w:t>
      </w:r>
    </w:p>
    <w:tbl>
      <w:tblPr>
        <w:tblStyle w:val="10"/>
        <w:tblW w:w="14108" w:type="dxa"/>
        <w:jc w:val="center"/>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269"/>
        <w:gridCol w:w="1416"/>
        <w:gridCol w:w="1418"/>
        <w:gridCol w:w="1559"/>
        <w:gridCol w:w="1559"/>
        <w:gridCol w:w="1418"/>
        <w:gridCol w:w="1418"/>
        <w:gridCol w:w="11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Merge w:val="restart"/>
            <w:shd w:val="clear" w:color="auto" w:fill="auto"/>
            <w:vAlign w:val="center"/>
          </w:tcPr>
          <w:p>
            <w:pPr>
              <w:adjustRightInd w:val="0"/>
              <w:snapToGrid w:val="0"/>
              <w:spacing w:before="156" w:beforeLines="50" w:line="360" w:lineRule="auto"/>
              <w:jc w:val="center"/>
              <w:rPr>
                <w:b/>
                <w:sz w:val="28"/>
                <w:szCs w:val="28"/>
              </w:rPr>
            </w:pPr>
            <w:r>
              <w:rPr>
                <w:rFonts w:hint="eastAsia"/>
                <w:b/>
                <w:sz w:val="28"/>
                <w:szCs w:val="28"/>
              </w:rPr>
              <w:t>序号</w:t>
            </w:r>
          </w:p>
        </w:tc>
        <w:tc>
          <w:tcPr>
            <w:tcW w:w="2269" w:type="dxa"/>
            <w:vMerge w:val="restart"/>
            <w:shd w:val="clear" w:color="auto" w:fill="auto"/>
            <w:vAlign w:val="center"/>
          </w:tcPr>
          <w:p>
            <w:pPr>
              <w:adjustRightInd w:val="0"/>
              <w:snapToGrid w:val="0"/>
              <w:spacing w:before="156" w:beforeLines="50" w:line="360" w:lineRule="auto"/>
              <w:jc w:val="center"/>
              <w:rPr>
                <w:b/>
                <w:sz w:val="28"/>
                <w:szCs w:val="28"/>
              </w:rPr>
            </w:pPr>
            <w:r>
              <w:rPr>
                <w:rFonts w:hint="eastAsia"/>
                <w:b/>
                <w:sz w:val="28"/>
                <w:szCs w:val="28"/>
              </w:rPr>
              <w:t>公司名称</w:t>
            </w:r>
          </w:p>
        </w:tc>
        <w:tc>
          <w:tcPr>
            <w:tcW w:w="8788" w:type="dxa"/>
            <w:gridSpan w:val="6"/>
            <w:shd w:val="clear" w:color="auto" w:fill="auto"/>
            <w:vAlign w:val="center"/>
          </w:tcPr>
          <w:p>
            <w:pPr>
              <w:adjustRightInd w:val="0"/>
              <w:snapToGrid w:val="0"/>
              <w:spacing w:before="156" w:beforeLines="50" w:line="360" w:lineRule="auto"/>
              <w:jc w:val="center"/>
              <w:rPr>
                <w:b/>
                <w:sz w:val="28"/>
                <w:szCs w:val="28"/>
              </w:rPr>
            </w:pPr>
            <w:r>
              <w:rPr>
                <w:rFonts w:hint="eastAsia"/>
                <w:b/>
                <w:sz w:val="28"/>
                <w:szCs w:val="28"/>
              </w:rPr>
              <w:t>评分人</w:t>
            </w:r>
          </w:p>
        </w:tc>
        <w:tc>
          <w:tcPr>
            <w:tcW w:w="1135" w:type="dxa"/>
            <w:vMerge w:val="restart"/>
            <w:shd w:val="clear" w:color="auto" w:fill="auto"/>
            <w:vAlign w:val="center"/>
          </w:tcPr>
          <w:p>
            <w:pPr>
              <w:adjustRightInd w:val="0"/>
              <w:snapToGrid w:val="0"/>
              <w:spacing w:before="156" w:beforeLines="50" w:line="360" w:lineRule="auto"/>
              <w:jc w:val="center"/>
              <w:rPr>
                <w:b/>
                <w:sz w:val="28"/>
                <w:szCs w:val="28"/>
              </w:rPr>
            </w:pPr>
            <w:r>
              <w:rPr>
                <w:rFonts w:hint="eastAsia"/>
                <w:b/>
                <w:sz w:val="28"/>
                <w:szCs w:val="28"/>
              </w:rPr>
              <w:t>平均分</w:t>
            </w:r>
          </w:p>
        </w:tc>
        <w:tc>
          <w:tcPr>
            <w:tcW w:w="992" w:type="dxa"/>
            <w:vMerge w:val="restart"/>
            <w:shd w:val="clear" w:color="auto" w:fill="auto"/>
            <w:vAlign w:val="center"/>
          </w:tcPr>
          <w:p>
            <w:pPr>
              <w:adjustRightInd w:val="0"/>
              <w:snapToGrid w:val="0"/>
              <w:spacing w:before="156" w:beforeLines="50" w:line="360" w:lineRule="auto"/>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 w:type="dxa"/>
            <w:vMerge w:val="continue"/>
            <w:shd w:val="clear" w:color="auto" w:fill="auto"/>
            <w:vAlign w:val="center"/>
          </w:tcPr>
          <w:p>
            <w:pPr>
              <w:adjustRightInd w:val="0"/>
              <w:snapToGrid w:val="0"/>
              <w:spacing w:before="156" w:beforeLines="50" w:line="360" w:lineRule="auto"/>
              <w:jc w:val="center"/>
              <w:rPr>
                <w:b/>
                <w:sz w:val="28"/>
                <w:szCs w:val="28"/>
              </w:rPr>
            </w:pPr>
          </w:p>
        </w:tc>
        <w:tc>
          <w:tcPr>
            <w:tcW w:w="2269" w:type="dxa"/>
            <w:vMerge w:val="continue"/>
            <w:shd w:val="clear" w:color="auto" w:fill="auto"/>
            <w:vAlign w:val="center"/>
          </w:tcPr>
          <w:p>
            <w:pPr>
              <w:adjustRightInd w:val="0"/>
              <w:snapToGrid w:val="0"/>
              <w:spacing w:before="156" w:beforeLines="50" w:line="360" w:lineRule="auto"/>
              <w:jc w:val="center"/>
              <w:rPr>
                <w:b/>
                <w:sz w:val="28"/>
                <w:szCs w:val="28"/>
              </w:rPr>
            </w:pPr>
          </w:p>
        </w:tc>
        <w:tc>
          <w:tcPr>
            <w:tcW w:w="1416"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135" w:type="dxa"/>
            <w:vMerge w:val="continue"/>
            <w:shd w:val="clear" w:color="auto" w:fill="auto"/>
            <w:vAlign w:val="center"/>
          </w:tcPr>
          <w:p>
            <w:pPr>
              <w:adjustRightInd w:val="0"/>
              <w:snapToGrid w:val="0"/>
              <w:spacing w:before="156" w:beforeLines="50" w:line="360" w:lineRule="auto"/>
              <w:jc w:val="center"/>
              <w:rPr>
                <w:b/>
                <w:sz w:val="28"/>
                <w:szCs w:val="28"/>
              </w:rPr>
            </w:pPr>
          </w:p>
        </w:tc>
        <w:tc>
          <w:tcPr>
            <w:tcW w:w="992" w:type="dxa"/>
            <w:vMerge w:val="continue"/>
            <w:shd w:val="clear" w:color="auto" w:fill="auto"/>
            <w:vAlign w:val="center"/>
          </w:tcPr>
          <w:p>
            <w:pPr>
              <w:adjustRightInd w:val="0"/>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24" w:type="dxa"/>
            <w:shd w:val="clear" w:color="auto" w:fill="auto"/>
            <w:vAlign w:val="center"/>
          </w:tcPr>
          <w:p>
            <w:pPr>
              <w:adjustRightInd w:val="0"/>
              <w:snapToGrid w:val="0"/>
              <w:spacing w:before="156" w:beforeLines="50" w:line="360" w:lineRule="auto"/>
              <w:jc w:val="center"/>
              <w:rPr>
                <w:b/>
                <w:sz w:val="28"/>
                <w:szCs w:val="28"/>
              </w:rPr>
            </w:pPr>
          </w:p>
        </w:tc>
        <w:tc>
          <w:tcPr>
            <w:tcW w:w="2269" w:type="dxa"/>
            <w:shd w:val="clear" w:color="auto" w:fill="auto"/>
            <w:vAlign w:val="center"/>
          </w:tcPr>
          <w:p>
            <w:pPr>
              <w:adjustRightInd w:val="0"/>
              <w:snapToGrid w:val="0"/>
              <w:spacing w:before="156" w:beforeLines="50" w:line="360" w:lineRule="auto"/>
              <w:jc w:val="center"/>
              <w:rPr>
                <w:b/>
                <w:sz w:val="28"/>
                <w:szCs w:val="28"/>
              </w:rPr>
            </w:pPr>
          </w:p>
        </w:tc>
        <w:tc>
          <w:tcPr>
            <w:tcW w:w="1416"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135" w:type="dxa"/>
            <w:shd w:val="clear" w:color="auto" w:fill="auto"/>
            <w:vAlign w:val="center"/>
          </w:tcPr>
          <w:p>
            <w:pPr>
              <w:adjustRightInd w:val="0"/>
              <w:snapToGrid w:val="0"/>
              <w:spacing w:before="156" w:beforeLines="50" w:line="360" w:lineRule="auto"/>
              <w:jc w:val="center"/>
              <w:rPr>
                <w:b/>
                <w:sz w:val="28"/>
                <w:szCs w:val="28"/>
              </w:rPr>
            </w:pPr>
          </w:p>
        </w:tc>
        <w:tc>
          <w:tcPr>
            <w:tcW w:w="992" w:type="dxa"/>
            <w:shd w:val="clear" w:color="auto" w:fill="auto"/>
            <w:vAlign w:val="center"/>
          </w:tcPr>
          <w:p>
            <w:pPr>
              <w:adjustRightInd w:val="0"/>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24" w:type="dxa"/>
            <w:shd w:val="clear" w:color="auto" w:fill="auto"/>
            <w:vAlign w:val="center"/>
          </w:tcPr>
          <w:p>
            <w:pPr>
              <w:adjustRightInd w:val="0"/>
              <w:snapToGrid w:val="0"/>
              <w:spacing w:before="156" w:beforeLines="50" w:line="360" w:lineRule="auto"/>
              <w:jc w:val="center"/>
              <w:rPr>
                <w:b/>
                <w:sz w:val="28"/>
                <w:szCs w:val="28"/>
              </w:rPr>
            </w:pPr>
          </w:p>
        </w:tc>
        <w:tc>
          <w:tcPr>
            <w:tcW w:w="2269" w:type="dxa"/>
            <w:shd w:val="clear" w:color="auto" w:fill="auto"/>
            <w:vAlign w:val="center"/>
          </w:tcPr>
          <w:p>
            <w:pPr>
              <w:adjustRightInd w:val="0"/>
              <w:snapToGrid w:val="0"/>
              <w:spacing w:before="156" w:beforeLines="50" w:line="360" w:lineRule="auto"/>
              <w:jc w:val="center"/>
              <w:rPr>
                <w:b/>
                <w:sz w:val="28"/>
                <w:szCs w:val="28"/>
              </w:rPr>
            </w:pPr>
          </w:p>
        </w:tc>
        <w:tc>
          <w:tcPr>
            <w:tcW w:w="1416"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135" w:type="dxa"/>
            <w:shd w:val="clear" w:color="auto" w:fill="auto"/>
            <w:vAlign w:val="center"/>
          </w:tcPr>
          <w:p>
            <w:pPr>
              <w:adjustRightInd w:val="0"/>
              <w:snapToGrid w:val="0"/>
              <w:spacing w:before="156" w:beforeLines="50" w:line="360" w:lineRule="auto"/>
              <w:jc w:val="center"/>
              <w:rPr>
                <w:b/>
                <w:sz w:val="28"/>
                <w:szCs w:val="28"/>
              </w:rPr>
            </w:pPr>
          </w:p>
        </w:tc>
        <w:tc>
          <w:tcPr>
            <w:tcW w:w="992" w:type="dxa"/>
            <w:shd w:val="clear" w:color="auto" w:fill="auto"/>
            <w:vAlign w:val="center"/>
          </w:tcPr>
          <w:p>
            <w:pPr>
              <w:adjustRightInd w:val="0"/>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24" w:type="dxa"/>
            <w:shd w:val="clear" w:color="auto" w:fill="auto"/>
            <w:vAlign w:val="center"/>
          </w:tcPr>
          <w:p>
            <w:pPr>
              <w:adjustRightInd w:val="0"/>
              <w:snapToGrid w:val="0"/>
              <w:spacing w:before="156" w:beforeLines="50" w:line="360" w:lineRule="auto"/>
              <w:jc w:val="center"/>
              <w:rPr>
                <w:b/>
                <w:sz w:val="28"/>
                <w:szCs w:val="28"/>
              </w:rPr>
            </w:pPr>
          </w:p>
        </w:tc>
        <w:tc>
          <w:tcPr>
            <w:tcW w:w="2269" w:type="dxa"/>
            <w:shd w:val="clear" w:color="auto" w:fill="auto"/>
            <w:vAlign w:val="center"/>
          </w:tcPr>
          <w:p>
            <w:pPr>
              <w:adjustRightInd w:val="0"/>
              <w:snapToGrid w:val="0"/>
              <w:spacing w:before="156" w:beforeLines="50" w:line="360" w:lineRule="auto"/>
              <w:jc w:val="center"/>
              <w:rPr>
                <w:b/>
                <w:sz w:val="28"/>
                <w:szCs w:val="28"/>
              </w:rPr>
            </w:pPr>
          </w:p>
        </w:tc>
        <w:tc>
          <w:tcPr>
            <w:tcW w:w="1416"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135" w:type="dxa"/>
            <w:shd w:val="clear" w:color="auto" w:fill="auto"/>
            <w:vAlign w:val="center"/>
          </w:tcPr>
          <w:p>
            <w:pPr>
              <w:adjustRightInd w:val="0"/>
              <w:snapToGrid w:val="0"/>
              <w:spacing w:before="156" w:beforeLines="50" w:line="360" w:lineRule="auto"/>
              <w:jc w:val="center"/>
              <w:rPr>
                <w:b/>
                <w:sz w:val="28"/>
                <w:szCs w:val="28"/>
              </w:rPr>
            </w:pPr>
          </w:p>
        </w:tc>
        <w:tc>
          <w:tcPr>
            <w:tcW w:w="992" w:type="dxa"/>
            <w:shd w:val="clear" w:color="auto" w:fill="auto"/>
            <w:vAlign w:val="center"/>
          </w:tcPr>
          <w:p>
            <w:pPr>
              <w:adjustRightInd w:val="0"/>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24" w:type="dxa"/>
            <w:shd w:val="clear" w:color="auto" w:fill="auto"/>
            <w:vAlign w:val="center"/>
          </w:tcPr>
          <w:p>
            <w:pPr>
              <w:adjustRightInd w:val="0"/>
              <w:snapToGrid w:val="0"/>
              <w:spacing w:before="156" w:beforeLines="50" w:line="360" w:lineRule="auto"/>
              <w:jc w:val="center"/>
              <w:rPr>
                <w:b/>
                <w:sz w:val="28"/>
                <w:szCs w:val="28"/>
              </w:rPr>
            </w:pPr>
          </w:p>
        </w:tc>
        <w:tc>
          <w:tcPr>
            <w:tcW w:w="2269" w:type="dxa"/>
            <w:shd w:val="clear" w:color="auto" w:fill="auto"/>
            <w:vAlign w:val="center"/>
          </w:tcPr>
          <w:p>
            <w:pPr>
              <w:adjustRightInd w:val="0"/>
              <w:snapToGrid w:val="0"/>
              <w:spacing w:before="156" w:beforeLines="50" w:line="360" w:lineRule="auto"/>
              <w:jc w:val="center"/>
              <w:rPr>
                <w:b/>
                <w:sz w:val="28"/>
                <w:szCs w:val="28"/>
              </w:rPr>
            </w:pPr>
          </w:p>
        </w:tc>
        <w:tc>
          <w:tcPr>
            <w:tcW w:w="1416"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559"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418" w:type="dxa"/>
            <w:shd w:val="clear" w:color="auto" w:fill="auto"/>
            <w:vAlign w:val="center"/>
          </w:tcPr>
          <w:p>
            <w:pPr>
              <w:adjustRightInd w:val="0"/>
              <w:snapToGrid w:val="0"/>
              <w:spacing w:before="156" w:beforeLines="50" w:line="360" w:lineRule="auto"/>
              <w:jc w:val="center"/>
              <w:rPr>
                <w:b/>
                <w:sz w:val="28"/>
                <w:szCs w:val="28"/>
              </w:rPr>
            </w:pPr>
          </w:p>
        </w:tc>
        <w:tc>
          <w:tcPr>
            <w:tcW w:w="1135" w:type="dxa"/>
            <w:shd w:val="clear" w:color="auto" w:fill="auto"/>
            <w:vAlign w:val="center"/>
          </w:tcPr>
          <w:p>
            <w:pPr>
              <w:adjustRightInd w:val="0"/>
              <w:snapToGrid w:val="0"/>
              <w:spacing w:before="156" w:beforeLines="50" w:line="360" w:lineRule="auto"/>
              <w:jc w:val="center"/>
              <w:rPr>
                <w:b/>
                <w:sz w:val="28"/>
                <w:szCs w:val="28"/>
              </w:rPr>
            </w:pPr>
          </w:p>
        </w:tc>
        <w:tc>
          <w:tcPr>
            <w:tcW w:w="992" w:type="dxa"/>
            <w:shd w:val="clear" w:color="auto" w:fill="auto"/>
            <w:vAlign w:val="center"/>
          </w:tcPr>
          <w:p>
            <w:pPr>
              <w:adjustRightInd w:val="0"/>
              <w:snapToGrid w:val="0"/>
              <w:spacing w:before="156" w:beforeLines="50" w:line="360" w:lineRule="auto"/>
              <w:jc w:val="center"/>
              <w:rPr>
                <w:b/>
                <w:sz w:val="28"/>
                <w:szCs w:val="28"/>
              </w:rPr>
            </w:pPr>
          </w:p>
        </w:tc>
      </w:tr>
    </w:tbl>
    <w:p>
      <w:pPr>
        <w:spacing w:line="560" w:lineRule="exact"/>
        <w:ind w:right="320"/>
        <w:jc w:val="right"/>
        <w:rPr>
          <w:rFonts w:ascii="黑体" w:eastAsia="黑体"/>
          <w:bCs/>
          <w:sz w:val="32"/>
          <w:szCs w:val="3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F2"/>
    <w:rsid w:val="000137FD"/>
    <w:rsid w:val="00022290"/>
    <w:rsid w:val="00026BB3"/>
    <w:rsid w:val="000274D8"/>
    <w:rsid w:val="00032FBA"/>
    <w:rsid w:val="0003443D"/>
    <w:rsid w:val="0006664B"/>
    <w:rsid w:val="0007590E"/>
    <w:rsid w:val="00077B80"/>
    <w:rsid w:val="00083108"/>
    <w:rsid w:val="000908B5"/>
    <w:rsid w:val="000A4534"/>
    <w:rsid w:val="000B2056"/>
    <w:rsid w:val="000B64D9"/>
    <w:rsid w:val="000B66EF"/>
    <w:rsid w:val="000C5B38"/>
    <w:rsid w:val="000D43E9"/>
    <w:rsid w:val="000D5ABF"/>
    <w:rsid w:val="000E060E"/>
    <w:rsid w:val="000E7B2D"/>
    <w:rsid w:val="00106156"/>
    <w:rsid w:val="0010726B"/>
    <w:rsid w:val="001103AA"/>
    <w:rsid w:val="00114D3C"/>
    <w:rsid w:val="00115EF4"/>
    <w:rsid w:val="00127385"/>
    <w:rsid w:val="0012761D"/>
    <w:rsid w:val="001306FB"/>
    <w:rsid w:val="001455D6"/>
    <w:rsid w:val="00151615"/>
    <w:rsid w:val="00154731"/>
    <w:rsid w:val="00157C77"/>
    <w:rsid w:val="00160DF9"/>
    <w:rsid w:val="00173EAD"/>
    <w:rsid w:val="00191841"/>
    <w:rsid w:val="00193F92"/>
    <w:rsid w:val="001954BB"/>
    <w:rsid w:val="00197064"/>
    <w:rsid w:val="001B4A30"/>
    <w:rsid w:val="001B5F75"/>
    <w:rsid w:val="001B77B3"/>
    <w:rsid w:val="001C26A8"/>
    <w:rsid w:val="001E0E30"/>
    <w:rsid w:val="001E4097"/>
    <w:rsid w:val="001E79D3"/>
    <w:rsid w:val="001F1C4D"/>
    <w:rsid w:val="00201956"/>
    <w:rsid w:val="002043AF"/>
    <w:rsid w:val="00205464"/>
    <w:rsid w:val="0022568F"/>
    <w:rsid w:val="00231DC2"/>
    <w:rsid w:val="00235C1E"/>
    <w:rsid w:val="00240F07"/>
    <w:rsid w:val="00247AF2"/>
    <w:rsid w:val="002653E8"/>
    <w:rsid w:val="002717D8"/>
    <w:rsid w:val="002933EE"/>
    <w:rsid w:val="002B21C6"/>
    <w:rsid w:val="002D5B56"/>
    <w:rsid w:val="002E5046"/>
    <w:rsid w:val="002E561E"/>
    <w:rsid w:val="002E7A69"/>
    <w:rsid w:val="003015BB"/>
    <w:rsid w:val="00302735"/>
    <w:rsid w:val="0031728A"/>
    <w:rsid w:val="00317B1D"/>
    <w:rsid w:val="00321338"/>
    <w:rsid w:val="00322716"/>
    <w:rsid w:val="003242D2"/>
    <w:rsid w:val="00326A29"/>
    <w:rsid w:val="003302EA"/>
    <w:rsid w:val="00330E66"/>
    <w:rsid w:val="00333FB7"/>
    <w:rsid w:val="00336250"/>
    <w:rsid w:val="00355D8D"/>
    <w:rsid w:val="003601F8"/>
    <w:rsid w:val="003834F9"/>
    <w:rsid w:val="003836A7"/>
    <w:rsid w:val="00383C60"/>
    <w:rsid w:val="00384C52"/>
    <w:rsid w:val="00393A09"/>
    <w:rsid w:val="0039450E"/>
    <w:rsid w:val="00394F5C"/>
    <w:rsid w:val="003A462C"/>
    <w:rsid w:val="003A4C7F"/>
    <w:rsid w:val="003C12DC"/>
    <w:rsid w:val="003C5B0E"/>
    <w:rsid w:val="003C5D7B"/>
    <w:rsid w:val="003D12C5"/>
    <w:rsid w:val="003E4C52"/>
    <w:rsid w:val="003E64E1"/>
    <w:rsid w:val="003F07DC"/>
    <w:rsid w:val="003F1230"/>
    <w:rsid w:val="0040387B"/>
    <w:rsid w:val="00404AF8"/>
    <w:rsid w:val="004051D1"/>
    <w:rsid w:val="004066F8"/>
    <w:rsid w:val="00427BE0"/>
    <w:rsid w:val="00454248"/>
    <w:rsid w:val="0049269B"/>
    <w:rsid w:val="00494F24"/>
    <w:rsid w:val="00497AFF"/>
    <w:rsid w:val="004A214E"/>
    <w:rsid w:val="004A32FB"/>
    <w:rsid w:val="004A4E3F"/>
    <w:rsid w:val="004A5526"/>
    <w:rsid w:val="004A7CE2"/>
    <w:rsid w:val="004B0E48"/>
    <w:rsid w:val="004B1D1B"/>
    <w:rsid w:val="004B6172"/>
    <w:rsid w:val="004C4B88"/>
    <w:rsid w:val="004D4CAE"/>
    <w:rsid w:val="00510158"/>
    <w:rsid w:val="00524373"/>
    <w:rsid w:val="00525510"/>
    <w:rsid w:val="00527D01"/>
    <w:rsid w:val="0053363D"/>
    <w:rsid w:val="00542CE0"/>
    <w:rsid w:val="0055408A"/>
    <w:rsid w:val="00554D48"/>
    <w:rsid w:val="00554FFE"/>
    <w:rsid w:val="00565731"/>
    <w:rsid w:val="005701C2"/>
    <w:rsid w:val="00576BD1"/>
    <w:rsid w:val="005842B9"/>
    <w:rsid w:val="00597D5D"/>
    <w:rsid w:val="005A0BCF"/>
    <w:rsid w:val="005A591C"/>
    <w:rsid w:val="005C43A1"/>
    <w:rsid w:val="005D08F3"/>
    <w:rsid w:val="005D091C"/>
    <w:rsid w:val="005D1351"/>
    <w:rsid w:val="005D3FD6"/>
    <w:rsid w:val="005D4D2C"/>
    <w:rsid w:val="005D78E6"/>
    <w:rsid w:val="005F656E"/>
    <w:rsid w:val="00600130"/>
    <w:rsid w:val="00604029"/>
    <w:rsid w:val="006137E9"/>
    <w:rsid w:val="00617412"/>
    <w:rsid w:val="0062478F"/>
    <w:rsid w:val="00625C4B"/>
    <w:rsid w:val="00625FC9"/>
    <w:rsid w:val="00626C75"/>
    <w:rsid w:val="006355FC"/>
    <w:rsid w:val="00635800"/>
    <w:rsid w:val="006403AE"/>
    <w:rsid w:val="00655DB6"/>
    <w:rsid w:val="00656A25"/>
    <w:rsid w:val="00657666"/>
    <w:rsid w:val="006664D8"/>
    <w:rsid w:val="00696D34"/>
    <w:rsid w:val="006A4A6A"/>
    <w:rsid w:val="006A54CF"/>
    <w:rsid w:val="006B662C"/>
    <w:rsid w:val="006B7769"/>
    <w:rsid w:val="006C633E"/>
    <w:rsid w:val="006E40D7"/>
    <w:rsid w:val="00705CE4"/>
    <w:rsid w:val="00705E59"/>
    <w:rsid w:val="00726861"/>
    <w:rsid w:val="00731D08"/>
    <w:rsid w:val="00735AD9"/>
    <w:rsid w:val="00736025"/>
    <w:rsid w:val="00736167"/>
    <w:rsid w:val="00741E8B"/>
    <w:rsid w:val="0074319F"/>
    <w:rsid w:val="007468B8"/>
    <w:rsid w:val="00753805"/>
    <w:rsid w:val="0076014E"/>
    <w:rsid w:val="007619BB"/>
    <w:rsid w:val="00770F7B"/>
    <w:rsid w:val="00772F4B"/>
    <w:rsid w:val="0077652C"/>
    <w:rsid w:val="00780A27"/>
    <w:rsid w:val="00796ACF"/>
    <w:rsid w:val="007A6BC3"/>
    <w:rsid w:val="007C3850"/>
    <w:rsid w:val="007C4843"/>
    <w:rsid w:val="007D72B8"/>
    <w:rsid w:val="007F26A2"/>
    <w:rsid w:val="007F448E"/>
    <w:rsid w:val="007F4F96"/>
    <w:rsid w:val="00800C3A"/>
    <w:rsid w:val="00813A25"/>
    <w:rsid w:val="00817931"/>
    <w:rsid w:val="00817F3E"/>
    <w:rsid w:val="00824EFB"/>
    <w:rsid w:val="00832669"/>
    <w:rsid w:val="008444CA"/>
    <w:rsid w:val="00847679"/>
    <w:rsid w:val="00850717"/>
    <w:rsid w:val="00884B1F"/>
    <w:rsid w:val="008875D0"/>
    <w:rsid w:val="00890B41"/>
    <w:rsid w:val="008A1DA2"/>
    <w:rsid w:val="008A4742"/>
    <w:rsid w:val="008A7EB4"/>
    <w:rsid w:val="008C6410"/>
    <w:rsid w:val="008C7027"/>
    <w:rsid w:val="008D1695"/>
    <w:rsid w:val="008D61DD"/>
    <w:rsid w:val="008F1860"/>
    <w:rsid w:val="008F7DB9"/>
    <w:rsid w:val="00900B23"/>
    <w:rsid w:val="00904112"/>
    <w:rsid w:val="00924422"/>
    <w:rsid w:val="009312A0"/>
    <w:rsid w:val="00936335"/>
    <w:rsid w:val="009468B7"/>
    <w:rsid w:val="00956F6A"/>
    <w:rsid w:val="009745F9"/>
    <w:rsid w:val="009829A1"/>
    <w:rsid w:val="0099238A"/>
    <w:rsid w:val="00993C6C"/>
    <w:rsid w:val="00994C1C"/>
    <w:rsid w:val="009A1FB3"/>
    <w:rsid w:val="009A304D"/>
    <w:rsid w:val="009C1989"/>
    <w:rsid w:val="009C6E42"/>
    <w:rsid w:val="009D7E34"/>
    <w:rsid w:val="009E197D"/>
    <w:rsid w:val="009F69CB"/>
    <w:rsid w:val="00A07AD5"/>
    <w:rsid w:val="00A13F30"/>
    <w:rsid w:val="00A15CC0"/>
    <w:rsid w:val="00A226D2"/>
    <w:rsid w:val="00A2715B"/>
    <w:rsid w:val="00A378FC"/>
    <w:rsid w:val="00A43869"/>
    <w:rsid w:val="00A52286"/>
    <w:rsid w:val="00A523E1"/>
    <w:rsid w:val="00A5492E"/>
    <w:rsid w:val="00A600AD"/>
    <w:rsid w:val="00A90E07"/>
    <w:rsid w:val="00A95336"/>
    <w:rsid w:val="00AA12B5"/>
    <w:rsid w:val="00AA36BF"/>
    <w:rsid w:val="00AA6814"/>
    <w:rsid w:val="00AC109A"/>
    <w:rsid w:val="00AD48F5"/>
    <w:rsid w:val="00AD7457"/>
    <w:rsid w:val="00AE36DB"/>
    <w:rsid w:val="00AF0138"/>
    <w:rsid w:val="00B114A8"/>
    <w:rsid w:val="00B26892"/>
    <w:rsid w:val="00B26A34"/>
    <w:rsid w:val="00B276B2"/>
    <w:rsid w:val="00B27882"/>
    <w:rsid w:val="00B32F72"/>
    <w:rsid w:val="00B33842"/>
    <w:rsid w:val="00B37CEE"/>
    <w:rsid w:val="00B4784A"/>
    <w:rsid w:val="00B47919"/>
    <w:rsid w:val="00B5247E"/>
    <w:rsid w:val="00B56921"/>
    <w:rsid w:val="00B62ED9"/>
    <w:rsid w:val="00B64388"/>
    <w:rsid w:val="00B747F2"/>
    <w:rsid w:val="00B759E3"/>
    <w:rsid w:val="00B83EB2"/>
    <w:rsid w:val="00B84FF5"/>
    <w:rsid w:val="00B94AE4"/>
    <w:rsid w:val="00BA6AE0"/>
    <w:rsid w:val="00BB0430"/>
    <w:rsid w:val="00BD090B"/>
    <w:rsid w:val="00BD0F42"/>
    <w:rsid w:val="00BD1068"/>
    <w:rsid w:val="00BD3FC3"/>
    <w:rsid w:val="00BD7DAD"/>
    <w:rsid w:val="00BE4F72"/>
    <w:rsid w:val="00BF1352"/>
    <w:rsid w:val="00C01524"/>
    <w:rsid w:val="00C04A9A"/>
    <w:rsid w:val="00C07971"/>
    <w:rsid w:val="00C15D6B"/>
    <w:rsid w:val="00C26FCC"/>
    <w:rsid w:val="00C32E28"/>
    <w:rsid w:val="00C34D81"/>
    <w:rsid w:val="00C40C25"/>
    <w:rsid w:val="00C5495C"/>
    <w:rsid w:val="00C61F24"/>
    <w:rsid w:val="00C62D13"/>
    <w:rsid w:val="00C66AF7"/>
    <w:rsid w:val="00C7097C"/>
    <w:rsid w:val="00C75876"/>
    <w:rsid w:val="00C90645"/>
    <w:rsid w:val="00C9113E"/>
    <w:rsid w:val="00C930DE"/>
    <w:rsid w:val="00CC5988"/>
    <w:rsid w:val="00CD6713"/>
    <w:rsid w:val="00CE03E2"/>
    <w:rsid w:val="00CE086C"/>
    <w:rsid w:val="00CE25AE"/>
    <w:rsid w:val="00CF3287"/>
    <w:rsid w:val="00CF7F40"/>
    <w:rsid w:val="00D00326"/>
    <w:rsid w:val="00D04549"/>
    <w:rsid w:val="00D24FD7"/>
    <w:rsid w:val="00D31389"/>
    <w:rsid w:val="00D439D1"/>
    <w:rsid w:val="00D471EF"/>
    <w:rsid w:val="00D669E1"/>
    <w:rsid w:val="00D74B08"/>
    <w:rsid w:val="00D90022"/>
    <w:rsid w:val="00D909A6"/>
    <w:rsid w:val="00DA1CDB"/>
    <w:rsid w:val="00DA35E3"/>
    <w:rsid w:val="00DB74E2"/>
    <w:rsid w:val="00DC5F05"/>
    <w:rsid w:val="00DD55F3"/>
    <w:rsid w:val="00DF511F"/>
    <w:rsid w:val="00E078F9"/>
    <w:rsid w:val="00E254FE"/>
    <w:rsid w:val="00E40F7F"/>
    <w:rsid w:val="00E44E5B"/>
    <w:rsid w:val="00E45EA8"/>
    <w:rsid w:val="00E46FE5"/>
    <w:rsid w:val="00E700DC"/>
    <w:rsid w:val="00E70F21"/>
    <w:rsid w:val="00E84029"/>
    <w:rsid w:val="00E851FE"/>
    <w:rsid w:val="00E9268E"/>
    <w:rsid w:val="00E943BE"/>
    <w:rsid w:val="00EA4A2D"/>
    <w:rsid w:val="00EB3DB4"/>
    <w:rsid w:val="00EB415E"/>
    <w:rsid w:val="00EC496A"/>
    <w:rsid w:val="00EE570A"/>
    <w:rsid w:val="00EE6946"/>
    <w:rsid w:val="00F03AF0"/>
    <w:rsid w:val="00F068DE"/>
    <w:rsid w:val="00F17B59"/>
    <w:rsid w:val="00F3054E"/>
    <w:rsid w:val="00F407F6"/>
    <w:rsid w:val="00F41233"/>
    <w:rsid w:val="00F463AD"/>
    <w:rsid w:val="00F62833"/>
    <w:rsid w:val="00F6463F"/>
    <w:rsid w:val="00F6635D"/>
    <w:rsid w:val="00F941BE"/>
    <w:rsid w:val="00F9724F"/>
    <w:rsid w:val="00FB1637"/>
    <w:rsid w:val="00FB3609"/>
    <w:rsid w:val="00FC1EB2"/>
    <w:rsid w:val="00FC6D74"/>
    <w:rsid w:val="00FD1AFB"/>
    <w:rsid w:val="00FE1DE4"/>
    <w:rsid w:val="00FF6B02"/>
    <w:rsid w:val="14F165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spacing w:line="300" w:lineRule="auto"/>
      <w:ind w:firstLine="480" w:firstLineChars="200"/>
    </w:pPr>
    <w:rPr>
      <w:rFonts w:ascii="宋体" w:hAnsi="宋体" w:cs="Times New Roman"/>
      <w:sz w:val="24"/>
      <w:szCs w:val="24"/>
    </w:rPr>
  </w:style>
  <w:style w:type="paragraph" w:styleId="3">
    <w:name w:val="Plain Text"/>
    <w:basedOn w:val="1"/>
    <w:link w:val="17"/>
    <w:qFormat/>
    <w:uiPriority w:val="0"/>
    <w:rPr>
      <w:rFonts w:ascii="宋体" w:hAnsi="Courier New" w:cs="Times New Roman"/>
      <w:szCs w:val="20"/>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4"/>
    <w:qFormat/>
    <w:uiPriority w:val="0"/>
    <w:pPr>
      <w:spacing w:line="360" w:lineRule="auto"/>
      <w:ind w:left="359" w:leftChars="171" w:firstLine="560" w:firstLineChars="200"/>
    </w:pPr>
    <w:rPr>
      <w:rFonts w:ascii="仿宋_GB2312" w:hAnsi="Times New Roman" w:eastAsia="仿宋_GB2312" w:cs="Times New Roman"/>
      <w:bCs/>
      <w:sz w:val="28"/>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2"/>
    <w:semiHidden/>
    <w:qFormat/>
    <w:uiPriority w:val="99"/>
    <w:pPr>
      <w:tabs>
        <w:tab w:val="center" w:pos="4153"/>
        <w:tab w:val="right" w:pos="8306"/>
      </w:tabs>
      <w:snapToGrid w:val="0"/>
      <w:jc w:val="left"/>
    </w:pPr>
    <w:rPr>
      <w:sz w:val="18"/>
      <w:szCs w:val="18"/>
    </w:rPr>
  </w:style>
  <w:style w:type="paragraph" w:styleId="8">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link w:val="8"/>
    <w:semiHidden/>
    <w:qFormat/>
    <w:locked/>
    <w:uiPriority w:val="99"/>
    <w:rPr>
      <w:sz w:val="18"/>
      <w:szCs w:val="18"/>
    </w:rPr>
  </w:style>
  <w:style w:type="character" w:customStyle="1" w:styleId="12">
    <w:name w:val="页脚 Char"/>
    <w:link w:val="7"/>
    <w:semiHidden/>
    <w:qFormat/>
    <w:locked/>
    <w:uiPriority w:val="99"/>
    <w:rPr>
      <w:sz w:val="18"/>
      <w:szCs w:val="18"/>
    </w:rPr>
  </w:style>
  <w:style w:type="character" w:customStyle="1" w:styleId="13">
    <w:name w:val="正文文本缩进 Char"/>
    <w:link w:val="2"/>
    <w:qFormat/>
    <w:uiPriority w:val="0"/>
    <w:rPr>
      <w:rFonts w:ascii="宋体" w:hAnsi="宋体"/>
      <w:sz w:val="24"/>
      <w:szCs w:val="24"/>
    </w:rPr>
  </w:style>
  <w:style w:type="character" w:customStyle="1" w:styleId="14">
    <w:name w:val="正文文本缩进 2 Char"/>
    <w:link w:val="5"/>
    <w:qFormat/>
    <w:uiPriority w:val="0"/>
    <w:rPr>
      <w:rFonts w:ascii="仿宋_GB2312" w:hAnsi="Times New Roman" w:eastAsia="仿宋_GB2312"/>
      <w:bCs/>
      <w:sz w:val="28"/>
      <w:szCs w:val="24"/>
    </w:rPr>
  </w:style>
  <w:style w:type="character" w:customStyle="1" w:styleId="15">
    <w:name w:val="批注框文本 Char"/>
    <w:link w:val="6"/>
    <w:semiHidden/>
    <w:qFormat/>
    <w:uiPriority w:val="99"/>
    <w:rPr>
      <w:rFonts w:cs="Calibri"/>
      <w:kern w:val="2"/>
      <w:sz w:val="18"/>
      <w:szCs w:val="18"/>
    </w:rPr>
  </w:style>
  <w:style w:type="character" w:customStyle="1" w:styleId="16">
    <w:name w:val="日期 Char"/>
    <w:basedOn w:val="9"/>
    <w:link w:val="4"/>
    <w:semiHidden/>
    <w:qFormat/>
    <w:uiPriority w:val="99"/>
    <w:rPr>
      <w:rFonts w:cs="Calibri"/>
      <w:kern w:val="2"/>
      <w:sz w:val="21"/>
      <w:szCs w:val="21"/>
    </w:rPr>
  </w:style>
  <w:style w:type="character" w:customStyle="1" w:styleId="17">
    <w:name w:val="纯文本 Char"/>
    <w:basedOn w:val="9"/>
    <w:link w:val="3"/>
    <w:qFormat/>
    <w:uiPriority w:val="0"/>
    <w:rPr>
      <w:rFonts w:ascii="宋体" w:hAnsi="Courier New"/>
      <w:kern w:val="2"/>
      <w:sz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531</Words>
  <Characters>3032</Characters>
  <Lines>25</Lines>
  <Paragraphs>7</Paragraphs>
  <TotalTime>89</TotalTime>
  <ScaleCrop>false</ScaleCrop>
  <LinksUpToDate>false</LinksUpToDate>
  <CharactersWithSpaces>3556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2018-05-18T01:17:00Z</dcterms:created>
  <dc:creator>微软用户</dc:creator>
  <cp:lastModifiedBy>屈春晖</cp:lastModifiedBy>
  <cp:lastPrinted>2018-05-16T08:29:00Z</cp:lastPrinted>
  <dcterms:modified xsi:type="dcterms:W3CDTF">2018-05-29T07:07:49Z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