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BA" w:rsidRDefault="000465BA" w:rsidP="000465BA">
      <w:pPr>
        <w:spacing w:line="52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E44FB">
        <w:rPr>
          <w:rFonts w:ascii="华文中宋" w:eastAsia="华文中宋" w:hAnsi="华文中宋" w:hint="eastAsia"/>
          <w:b/>
          <w:sz w:val="36"/>
          <w:szCs w:val="36"/>
        </w:rPr>
        <w:t>2016年残疾人大学生就业助力计划项目打分表</w:t>
      </w:r>
    </w:p>
    <w:p w:rsidR="000465BA" w:rsidRPr="009E44FB" w:rsidRDefault="000465BA" w:rsidP="000465BA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10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78"/>
        <w:gridCol w:w="1418"/>
        <w:gridCol w:w="851"/>
        <w:gridCol w:w="7482"/>
      </w:tblGrid>
      <w:tr w:rsidR="000465BA" w:rsidRPr="00CC233E" w:rsidTr="002C7BE3">
        <w:trPr>
          <w:trHeight w:val="373"/>
          <w:jc w:val="center"/>
        </w:trPr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33E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33E">
              <w:rPr>
                <w:rFonts w:ascii="宋体" w:hAnsi="宋体" w:hint="eastAsia"/>
                <w:b/>
                <w:szCs w:val="21"/>
              </w:rPr>
              <w:t>评分因素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33E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7482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C233E">
              <w:rPr>
                <w:rFonts w:ascii="宋体" w:hAnsi="宋体" w:hint="eastAsia"/>
                <w:b/>
                <w:szCs w:val="21"/>
              </w:rPr>
              <w:t>评分说明</w:t>
            </w:r>
          </w:p>
        </w:tc>
      </w:tr>
      <w:tr w:rsidR="000465BA" w:rsidRPr="00CC233E" w:rsidTr="002C7BE3">
        <w:trPr>
          <w:trHeight w:val="373"/>
          <w:jc w:val="center"/>
        </w:trPr>
        <w:tc>
          <w:tcPr>
            <w:tcW w:w="10629" w:type="dxa"/>
            <w:gridSpan w:val="4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 w:rsidRPr="00CC233E">
              <w:rPr>
                <w:rFonts w:ascii="宋体" w:hAnsi="宋体" w:hint="eastAsia"/>
                <w:b/>
                <w:szCs w:val="21"/>
              </w:rPr>
              <w:t>价格部分20分</w:t>
            </w:r>
          </w:p>
        </w:tc>
      </w:tr>
      <w:tr w:rsidR="000465BA" w:rsidRPr="00CC233E" w:rsidTr="002C7BE3">
        <w:trPr>
          <w:trHeight w:val="1174"/>
          <w:jc w:val="center"/>
        </w:trPr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投标报价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7482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综合评分法中的价格</w:t>
            </w:r>
            <w:proofErr w:type="gramStart"/>
            <w:r w:rsidRPr="00CC233E">
              <w:rPr>
                <w:rFonts w:ascii="宋体" w:hAnsi="宋体" w:hint="eastAsia"/>
                <w:szCs w:val="21"/>
              </w:rPr>
              <w:t>分统一</w:t>
            </w:r>
            <w:proofErr w:type="gramEnd"/>
            <w:r w:rsidRPr="00CC233E">
              <w:rPr>
                <w:rFonts w:ascii="宋体" w:hAnsi="宋体" w:hint="eastAsia"/>
                <w:szCs w:val="21"/>
              </w:rPr>
              <w:t>采用低价优先法计算，即满足招标文件要求且投标价格最低的投标报价为评标基准价，其价格分为满分20</w:t>
            </w:r>
            <w:r>
              <w:rPr>
                <w:rFonts w:ascii="宋体" w:hAnsi="宋体" w:hint="eastAsia"/>
                <w:szCs w:val="21"/>
              </w:rPr>
              <w:t>分。其他投标人的价格</w:t>
            </w:r>
            <w:proofErr w:type="gramStart"/>
            <w:r>
              <w:rPr>
                <w:rFonts w:ascii="宋体" w:hAnsi="宋体" w:hint="eastAsia"/>
                <w:szCs w:val="21"/>
              </w:rPr>
              <w:t>分统一</w:t>
            </w:r>
            <w:proofErr w:type="gramEnd"/>
            <w:r>
              <w:rPr>
                <w:rFonts w:ascii="宋体" w:hAnsi="宋体" w:hint="eastAsia"/>
                <w:szCs w:val="21"/>
              </w:rPr>
              <w:t>按照下述</w:t>
            </w:r>
            <w:r w:rsidRPr="00CC233E">
              <w:rPr>
                <w:rFonts w:ascii="宋体" w:hAnsi="宋体" w:hint="eastAsia"/>
                <w:szCs w:val="21"/>
              </w:rPr>
              <w:t>公式计算：投标报价得分=(评标基准价／投标报价)×20。</w:t>
            </w:r>
          </w:p>
        </w:tc>
      </w:tr>
      <w:tr w:rsidR="000465BA" w:rsidRPr="00CC233E" w:rsidTr="002C7BE3">
        <w:trPr>
          <w:trHeight w:val="375"/>
          <w:jc w:val="center"/>
        </w:trPr>
        <w:tc>
          <w:tcPr>
            <w:tcW w:w="10629" w:type="dxa"/>
            <w:gridSpan w:val="4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 w:rsidRPr="00CC233E">
              <w:rPr>
                <w:rFonts w:ascii="宋体" w:hAnsi="宋体" w:hint="eastAsia"/>
                <w:b/>
                <w:szCs w:val="21"/>
              </w:rPr>
              <w:t>技术部分60分</w:t>
            </w:r>
          </w:p>
        </w:tc>
      </w:tr>
      <w:tr w:rsidR="000465BA" w:rsidRPr="00CC233E" w:rsidTr="002C7BE3">
        <w:trPr>
          <w:cantSplit/>
          <w:trHeight w:val="868"/>
          <w:jc w:val="center"/>
        </w:trPr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方案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CC233E">
              <w:rPr>
                <w:rFonts w:ascii="宋体" w:hAnsi="宋体" w:hint="eastAsia"/>
                <w:szCs w:val="21"/>
              </w:rPr>
              <w:t>0分</w:t>
            </w:r>
          </w:p>
        </w:tc>
        <w:tc>
          <w:tcPr>
            <w:tcW w:w="7482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投标单位</w:t>
            </w:r>
            <w:r>
              <w:rPr>
                <w:rFonts w:ascii="宋体" w:hAnsi="宋体" w:hint="eastAsia"/>
                <w:szCs w:val="21"/>
              </w:rPr>
              <w:t>需</w:t>
            </w:r>
            <w:r w:rsidRPr="00CC233E"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szCs w:val="21"/>
              </w:rPr>
              <w:t>实施方案</w:t>
            </w:r>
            <w:r w:rsidRPr="00CC233E">
              <w:rPr>
                <w:rFonts w:ascii="宋体" w:hAnsi="宋体" w:hint="eastAsia"/>
                <w:szCs w:val="21"/>
              </w:rPr>
              <w:t>，涵盖</w:t>
            </w:r>
            <w:r>
              <w:rPr>
                <w:rFonts w:ascii="宋体" w:hAnsi="宋体" w:hint="eastAsia"/>
                <w:szCs w:val="21"/>
              </w:rPr>
              <w:t>残疾人大学生个别化辅导、导师队伍建设、团体活动辅导、雇主培训、工作总结</w:t>
            </w:r>
            <w:r w:rsidRPr="00CC233E">
              <w:rPr>
                <w:rFonts w:ascii="宋体" w:hAnsi="宋体" w:hint="eastAsia"/>
                <w:szCs w:val="21"/>
              </w:rPr>
              <w:t>、后续跟踪服务等环节具体实施措施及时间节点。</w:t>
            </w:r>
          </w:p>
          <w:p w:rsidR="000465BA" w:rsidRPr="00CC233E" w:rsidRDefault="000465BA" w:rsidP="002C7BE3">
            <w:pPr>
              <w:spacing w:line="340" w:lineRule="exact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1）完整、科学、合理，得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CC233E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CC233E">
              <w:rPr>
                <w:rFonts w:ascii="宋体" w:hAnsi="宋体" w:hint="eastAsia"/>
                <w:szCs w:val="21"/>
              </w:rPr>
              <w:t>0分；</w:t>
            </w:r>
          </w:p>
          <w:p w:rsidR="000465BA" w:rsidRPr="00CC233E" w:rsidRDefault="000465BA" w:rsidP="002C7BE3">
            <w:pPr>
              <w:spacing w:line="340" w:lineRule="exact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2）较完整、科学、合理，得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CC233E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CC233E">
              <w:rPr>
                <w:rFonts w:ascii="宋体" w:hAnsi="宋体" w:hint="eastAsia"/>
                <w:szCs w:val="21"/>
              </w:rPr>
              <w:t>0分；</w:t>
            </w:r>
          </w:p>
          <w:p w:rsidR="000465BA" w:rsidRDefault="000465BA" w:rsidP="002C7BE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3）一般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CC233E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CC233E">
              <w:rPr>
                <w:rFonts w:ascii="宋体" w:hAnsi="宋体" w:hint="eastAsia"/>
                <w:szCs w:val="21"/>
              </w:rPr>
              <w:t>0分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CC233E">
              <w:rPr>
                <w:rFonts w:ascii="宋体" w:hAnsi="宋体"/>
                <w:szCs w:val="21"/>
              </w:rPr>
              <w:t xml:space="preserve"> </w:t>
            </w:r>
          </w:p>
          <w:p w:rsidR="000465BA" w:rsidRPr="00CC233E" w:rsidRDefault="000465BA" w:rsidP="002C7B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4）差0-10分。</w:t>
            </w:r>
          </w:p>
        </w:tc>
      </w:tr>
      <w:tr w:rsidR="000465BA" w:rsidRPr="00CC233E" w:rsidTr="002C7BE3">
        <w:trPr>
          <w:cantSplit/>
          <w:trHeight w:val="342"/>
          <w:jc w:val="center"/>
        </w:trPr>
        <w:tc>
          <w:tcPr>
            <w:tcW w:w="878" w:type="dxa"/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项目特色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Pr="00CC233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482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投标单位</w:t>
            </w:r>
            <w:r>
              <w:rPr>
                <w:rFonts w:ascii="宋体" w:hAnsi="宋体" w:hint="eastAsia"/>
                <w:szCs w:val="21"/>
              </w:rPr>
              <w:t>主动提出的有助于残疾人大学生就业助力计划实施的特色服务内容。</w:t>
            </w:r>
          </w:p>
          <w:p w:rsidR="000465BA" w:rsidRPr="00CC233E" w:rsidRDefault="000465BA" w:rsidP="000465BA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特色服务内容可行、有效，得10-20分；</w:t>
            </w:r>
          </w:p>
          <w:p w:rsidR="000465BA" w:rsidRPr="00CC233E" w:rsidRDefault="000465BA" w:rsidP="000465BA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特色服务内容可行性较差，得1-10分；</w:t>
            </w:r>
            <w:r w:rsidRPr="00CC233E">
              <w:rPr>
                <w:rFonts w:ascii="宋体" w:hAnsi="宋体" w:hint="eastAsia"/>
                <w:szCs w:val="21"/>
              </w:rPr>
              <w:t xml:space="preserve"> </w:t>
            </w:r>
          </w:p>
          <w:p w:rsidR="000465BA" w:rsidRPr="00CC233E" w:rsidRDefault="000465BA" w:rsidP="000465BA">
            <w:pPr>
              <w:numPr>
                <w:ilvl w:val="0"/>
                <w:numId w:val="1"/>
              </w:num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无特色服务内容，</w:t>
            </w:r>
            <w:r w:rsidRPr="00CC233E">
              <w:rPr>
                <w:rFonts w:ascii="宋体" w:hAnsi="宋体" w:hint="eastAsia"/>
                <w:szCs w:val="21"/>
              </w:rPr>
              <w:t>得0分。</w:t>
            </w:r>
          </w:p>
        </w:tc>
      </w:tr>
      <w:tr w:rsidR="000465BA" w:rsidRPr="00CC233E" w:rsidTr="002C7BE3">
        <w:trPr>
          <w:trHeight w:val="383"/>
          <w:jc w:val="center"/>
        </w:trPr>
        <w:tc>
          <w:tcPr>
            <w:tcW w:w="10629" w:type="dxa"/>
            <w:gridSpan w:val="4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 w:rsidRPr="00CC233E">
              <w:rPr>
                <w:rFonts w:ascii="宋体" w:hAnsi="宋体" w:hint="eastAsia"/>
                <w:b/>
                <w:szCs w:val="21"/>
              </w:rPr>
              <w:t>商务部分20分</w:t>
            </w:r>
          </w:p>
        </w:tc>
      </w:tr>
      <w:tr w:rsidR="000465BA" w:rsidRPr="00CC233E" w:rsidTr="002C7BE3">
        <w:trPr>
          <w:cantSplit/>
          <w:trHeight w:val="375"/>
          <w:jc w:val="center"/>
        </w:trPr>
        <w:tc>
          <w:tcPr>
            <w:tcW w:w="878" w:type="dxa"/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 w:rsidRPr="00CC233E">
              <w:rPr>
                <w:rFonts w:ascii="宋体" w:hAnsi="宋体" w:cs="宋体" w:hint="eastAsia"/>
                <w:szCs w:val="21"/>
              </w:rPr>
              <w:t>财务状况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CC233E"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7482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widowControl/>
              <w:spacing w:line="340" w:lineRule="exact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1）好，得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CC233E">
              <w:rPr>
                <w:rFonts w:ascii="宋体" w:hAnsi="宋体" w:hint="eastAsia"/>
                <w:szCs w:val="21"/>
              </w:rPr>
              <w:t>分；</w:t>
            </w:r>
          </w:p>
          <w:p w:rsidR="000465BA" w:rsidRPr="00CC233E" w:rsidRDefault="000465BA" w:rsidP="002C7BE3">
            <w:pPr>
              <w:widowControl/>
              <w:spacing w:line="340" w:lineRule="exact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2）差，得0分。</w:t>
            </w:r>
          </w:p>
        </w:tc>
      </w:tr>
      <w:tr w:rsidR="000465BA" w:rsidRPr="00CC233E" w:rsidTr="002C7BE3">
        <w:trPr>
          <w:cantSplit/>
          <w:trHeight w:val="2673"/>
          <w:jc w:val="center"/>
        </w:trPr>
        <w:tc>
          <w:tcPr>
            <w:tcW w:w="87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近3年类似业绩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0465BA" w:rsidRPr="00CC233E" w:rsidRDefault="000465BA" w:rsidP="002C7B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7482" w:type="dxa"/>
            <w:tcMar>
              <w:top w:w="57" w:type="dxa"/>
              <w:bottom w:w="57" w:type="dxa"/>
            </w:tcMar>
            <w:vAlign w:val="center"/>
          </w:tcPr>
          <w:p w:rsidR="000465BA" w:rsidRDefault="000465BA" w:rsidP="002C7BE3">
            <w:pPr>
              <w:spacing w:beforeLines="50" w:afterLines="50"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具有</w:t>
            </w:r>
            <w:r w:rsidRPr="00CC233E">
              <w:rPr>
                <w:rFonts w:ascii="宋体" w:hAnsi="宋体" w:hint="eastAsia"/>
                <w:szCs w:val="21"/>
              </w:rPr>
              <w:t>实施</w:t>
            </w:r>
            <w:r>
              <w:rPr>
                <w:rFonts w:ascii="宋体" w:hAnsi="宋体" w:hint="eastAsia"/>
                <w:szCs w:val="21"/>
              </w:rPr>
              <w:t>残疾人大学生职业辅导</w:t>
            </w:r>
            <w:proofErr w:type="gramStart"/>
            <w:r>
              <w:rPr>
                <w:rFonts w:ascii="宋体" w:hAnsi="宋体" w:hint="eastAsia"/>
                <w:szCs w:val="21"/>
              </w:rPr>
              <w:t>或健全</w:t>
            </w:r>
            <w:proofErr w:type="gramEnd"/>
            <w:r>
              <w:rPr>
                <w:rFonts w:ascii="宋体" w:hAnsi="宋体" w:hint="eastAsia"/>
                <w:szCs w:val="21"/>
              </w:rPr>
              <w:t>大学生职业辅导类似项目经验。其中：</w:t>
            </w:r>
          </w:p>
          <w:p w:rsidR="000465BA" w:rsidRDefault="000465BA" w:rsidP="002C7BE3">
            <w:pPr>
              <w:spacing w:beforeLines="50" w:afterLines="50"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1）两类项目均有实施，10分；</w:t>
            </w:r>
          </w:p>
          <w:p w:rsidR="000465BA" w:rsidRDefault="000465BA" w:rsidP="002C7BE3">
            <w:pPr>
              <w:spacing w:beforeLines="50" w:afterLines="50"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2）实施过其中一类项目，5分；</w:t>
            </w:r>
          </w:p>
          <w:p w:rsidR="000465BA" w:rsidRDefault="000465BA" w:rsidP="002C7BE3">
            <w:pPr>
              <w:spacing w:beforeLines="50" w:afterLines="50"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3）两类项目均没有实施，0分。</w:t>
            </w:r>
          </w:p>
          <w:p w:rsidR="000465BA" w:rsidRPr="00CC233E" w:rsidRDefault="000465BA" w:rsidP="002C7BE3">
            <w:pPr>
              <w:spacing w:beforeLines="50" w:afterLines="50" w:line="340" w:lineRule="exact"/>
              <w:rPr>
                <w:rFonts w:ascii="宋体" w:hAnsi="宋体"/>
                <w:szCs w:val="21"/>
              </w:rPr>
            </w:pPr>
            <w:r w:rsidRPr="00CC233E">
              <w:rPr>
                <w:rFonts w:ascii="宋体" w:hAnsi="宋体" w:hint="eastAsia"/>
                <w:szCs w:val="21"/>
              </w:rPr>
              <w:t>（投标文件中须含</w:t>
            </w:r>
            <w:r>
              <w:rPr>
                <w:rFonts w:ascii="宋体" w:hAnsi="宋体" w:hint="eastAsia"/>
                <w:szCs w:val="21"/>
              </w:rPr>
              <w:t>实施项目</w:t>
            </w:r>
            <w:r w:rsidRPr="00CC233E">
              <w:rPr>
                <w:rFonts w:ascii="宋体" w:hAnsi="宋体" w:hint="eastAsia"/>
                <w:szCs w:val="21"/>
              </w:rPr>
              <w:t>所签劳动合同等复印件，如被核实为提供虚假资料，将直接取消投标资格）。</w:t>
            </w:r>
          </w:p>
        </w:tc>
      </w:tr>
    </w:tbl>
    <w:p w:rsidR="000465BA" w:rsidRPr="009E44FB" w:rsidRDefault="000465BA" w:rsidP="000465BA">
      <w:pPr>
        <w:spacing w:line="360" w:lineRule="exact"/>
        <w:rPr>
          <w:rFonts w:eastAsia="仿宋_GB2312"/>
          <w:sz w:val="36"/>
          <w:szCs w:val="36"/>
        </w:rPr>
      </w:pPr>
    </w:p>
    <w:p w:rsidR="00405038" w:rsidRPr="000465BA" w:rsidRDefault="00405038"/>
    <w:sectPr w:rsidR="00405038" w:rsidRPr="000465BA" w:rsidSect="0040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7A7B"/>
    <w:multiLevelType w:val="hybridMultilevel"/>
    <w:tmpl w:val="713EE20A"/>
    <w:lvl w:ilvl="0" w:tplc="9D4E281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5BA"/>
    <w:rsid w:val="000465BA"/>
    <w:rsid w:val="00405038"/>
    <w:rsid w:val="009A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bdpf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贾献强</dc:creator>
  <cp:keywords/>
  <dc:description/>
  <cp:lastModifiedBy>贾献强</cp:lastModifiedBy>
  <cp:revision>1</cp:revision>
  <dcterms:created xsi:type="dcterms:W3CDTF">2016-07-05T08:46:00Z</dcterms:created>
  <dcterms:modified xsi:type="dcterms:W3CDTF">2016-07-05T08:46:00Z</dcterms:modified>
</cp:coreProperties>
</file>