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2020年度“爱满京华”北京市残疾人冰雪文化体育节“走基层 送文艺”演出项目</w:t>
      </w:r>
      <w:r>
        <w:rPr>
          <w:rFonts w:hint="eastAsia" w:ascii="方正小标宋简体" w:hAnsi="方正小标宋简体" w:eastAsia="方正小标宋简体" w:cs="方正小标宋简体"/>
          <w:b w:val="0"/>
          <w:bCs/>
          <w:color w:val="000000"/>
          <w:kern w:val="0"/>
          <w:sz w:val="36"/>
          <w:szCs w:val="36"/>
        </w:rPr>
        <w:t>评分表</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 xml:space="preserve">制表单位：              </w:t>
      </w:r>
      <w:r>
        <w:rPr>
          <w:rFonts w:hint="eastAsia" w:ascii="宋体-18030" w:hAnsi="宋体-18030" w:eastAsia="宋体-18030" w:cs="宋体-18030"/>
          <w:color w:val="000000"/>
          <w:kern w:val="0"/>
          <w:szCs w:val="21"/>
          <w:lang w:val="en-US" w:eastAsia="zh-CN"/>
        </w:rPr>
        <w:t xml:space="preserve">                        </w:t>
      </w:r>
      <w:r>
        <w:rPr>
          <w:rFonts w:hint="eastAsia" w:ascii="宋体-18030" w:hAnsi="宋体-18030" w:eastAsia="宋体-18030" w:cs="宋体-18030"/>
          <w:color w:val="000000"/>
          <w:kern w:val="0"/>
          <w:szCs w:val="21"/>
        </w:rPr>
        <w:t xml:space="preserve"> 日期：</w:t>
      </w:r>
    </w:p>
    <w:tbl>
      <w:tblPr>
        <w:tblStyle w:val="8"/>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4"/>
        <w:gridCol w:w="840"/>
        <w:gridCol w:w="767"/>
        <w:gridCol w:w="576"/>
        <w:gridCol w:w="5680"/>
        <w:gridCol w:w="705"/>
        <w:gridCol w:w="933"/>
        <w:gridCol w:w="1050"/>
        <w:gridCol w:w="973"/>
        <w:gridCol w:w="954"/>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trPr>
        <w:tc>
          <w:tcPr>
            <w:tcW w:w="424"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项 目</w:t>
            </w:r>
          </w:p>
        </w:tc>
        <w:tc>
          <w:tcPr>
            <w:tcW w:w="576"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标准分</w:t>
            </w:r>
          </w:p>
        </w:tc>
        <w:tc>
          <w:tcPr>
            <w:tcW w:w="568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评分标准</w:t>
            </w:r>
          </w:p>
        </w:tc>
        <w:tc>
          <w:tcPr>
            <w:tcW w:w="705" w:type="dxa"/>
            <w:shd w:val="clear" w:color="auto" w:fill="auto"/>
            <w:vAlign w:val="center"/>
          </w:tcPr>
          <w:p>
            <w:pPr>
              <w:snapToGrid w:val="0"/>
              <w:spacing w:line="240" w:lineRule="exact"/>
              <w:jc w:val="center"/>
              <w:rPr>
                <w:rFonts w:ascii="宋体" w:hAnsi="宋体"/>
                <w:sz w:val="18"/>
              </w:rPr>
            </w:pPr>
            <w:r>
              <w:rPr>
                <w:rFonts w:hint="eastAsia" w:ascii="宋体" w:hAnsi="宋体"/>
                <w:b/>
                <w:sz w:val="18"/>
              </w:rPr>
              <w:t>分值</w:t>
            </w:r>
          </w:p>
        </w:tc>
        <w:tc>
          <w:tcPr>
            <w:tcW w:w="933"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c>
          <w:tcPr>
            <w:tcW w:w="1050"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c>
          <w:tcPr>
            <w:tcW w:w="973"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c>
          <w:tcPr>
            <w:tcW w:w="954" w:type="dxa"/>
            <w:vAlign w:val="center"/>
          </w:tcPr>
          <w:p>
            <w:pPr>
              <w:snapToGrid w:val="0"/>
              <w:spacing w:line="240" w:lineRule="exact"/>
              <w:jc w:val="center"/>
              <w:rPr>
                <w:rFonts w:hint="eastAsia" w:ascii="宋体" w:hAnsi="宋体"/>
                <w:b/>
                <w:sz w:val="18"/>
              </w:rPr>
            </w:pPr>
          </w:p>
        </w:tc>
        <w:tc>
          <w:tcPr>
            <w:tcW w:w="1143" w:type="dxa"/>
            <w:vAlign w:val="center"/>
          </w:tcPr>
          <w:p>
            <w:pPr>
              <w:snapToGrid w:val="0"/>
              <w:spacing w:line="240" w:lineRule="exact"/>
              <w:jc w:val="center"/>
              <w:rPr>
                <w:rFonts w:hint="eastAsia" w:ascii="宋体" w:hAnsi="宋体"/>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1</w:t>
            </w:r>
          </w:p>
        </w:tc>
        <w:tc>
          <w:tcPr>
            <w:tcW w:w="840" w:type="dxa"/>
            <w:vMerge w:val="restart"/>
            <w:shd w:val="clear" w:color="auto" w:fill="auto"/>
            <w:vAlign w:val="center"/>
          </w:tcPr>
          <w:p>
            <w:pPr>
              <w:spacing w:line="240" w:lineRule="exact"/>
              <w:jc w:val="center"/>
              <w:rPr>
                <w:rFonts w:ascii="宋体" w:hAnsi="宋体"/>
                <w:sz w:val="18"/>
              </w:rPr>
            </w:pPr>
            <w:r>
              <w:rPr>
                <w:rFonts w:hint="eastAsia" w:ascii="宋体" w:hAnsi="宋体"/>
                <w:b/>
                <w:sz w:val="18"/>
              </w:rPr>
              <w:t>商务部分（35分）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机构资质</w:t>
            </w:r>
          </w:p>
        </w:tc>
        <w:tc>
          <w:tcPr>
            <w:tcW w:w="576"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机构相关资格证明文件（企业法人营业执照、机构登记证书或其他组织证书）、机构法定代表人身份证复印件、法定代表人授权证书、受委托人身份证复印件</w:t>
            </w:r>
          </w:p>
        </w:tc>
        <w:tc>
          <w:tcPr>
            <w:tcW w:w="705"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0-15</w:t>
            </w:r>
          </w:p>
          <w:p>
            <w:pPr>
              <w:spacing w:line="240" w:lineRule="exact"/>
              <w:jc w:val="center"/>
              <w:rPr>
                <w:rFonts w:ascii="宋体" w:hAnsi="宋体"/>
                <w:sz w:val="18"/>
              </w:rPr>
            </w:pPr>
          </w:p>
        </w:tc>
        <w:tc>
          <w:tcPr>
            <w:tcW w:w="933" w:type="dxa"/>
            <w:vMerge w:val="restart"/>
            <w:vAlign w:val="center"/>
          </w:tcPr>
          <w:p>
            <w:pPr>
              <w:spacing w:line="240" w:lineRule="exact"/>
              <w:jc w:val="center"/>
              <w:rPr>
                <w:rFonts w:ascii="宋体" w:hAnsi="宋体"/>
                <w:sz w:val="18"/>
              </w:rPr>
            </w:pPr>
          </w:p>
        </w:tc>
        <w:tc>
          <w:tcPr>
            <w:tcW w:w="1050" w:type="dxa"/>
            <w:vMerge w:val="restart"/>
            <w:vAlign w:val="center"/>
          </w:tcPr>
          <w:p>
            <w:pPr>
              <w:spacing w:line="240" w:lineRule="exact"/>
              <w:jc w:val="center"/>
              <w:rPr>
                <w:rFonts w:ascii="宋体" w:hAnsi="宋体"/>
                <w:sz w:val="18"/>
              </w:rPr>
            </w:pPr>
          </w:p>
        </w:tc>
        <w:tc>
          <w:tcPr>
            <w:tcW w:w="973" w:type="dxa"/>
            <w:vMerge w:val="restart"/>
            <w:vAlign w:val="center"/>
          </w:tcPr>
          <w:p>
            <w:pPr>
              <w:spacing w:line="240" w:lineRule="exact"/>
              <w:jc w:val="center"/>
              <w:rPr>
                <w:rFonts w:ascii="宋体" w:hAnsi="宋体"/>
                <w:sz w:val="18"/>
              </w:rPr>
            </w:pPr>
          </w:p>
        </w:tc>
        <w:tc>
          <w:tcPr>
            <w:tcW w:w="954" w:type="dxa"/>
            <w:vMerge w:val="restart"/>
            <w:vAlign w:val="center"/>
          </w:tcPr>
          <w:p>
            <w:pPr>
              <w:spacing w:line="240" w:lineRule="exact"/>
              <w:jc w:val="center"/>
              <w:rPr>
                <w:rFonts w:ascii="宋体" w:hAnsi="宋体"/>
                <w:sz w:val="18"/>
              </w:rPr>
            </w:pPr>
          </w:p>
        </w:tc>
        <w:tc>
          <w:tcPr>
            <w:tcW w:w="1143"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机构财务条件具有履约能力（近六个月内任三个月依法缴纳税收和社会保障金的凭证复印件），“信用中国”网站查询企业无不良行为,未被列入失信被执行人、重大税收违法案件当事人名单，并加盖公章</w:t>
            </w:r>
          </w:p>
        </w:tc>
        <w:tc>
          <w:tcPr>
            <w:tcW w:w="705" w:type="dxa"/>
            <w:vMerge w:val="continue"/>
            <w:shd w:val="clear" w:color="auto" w:fill="auto"/>
            <w:vAlign w:val="center"/>
          </w:tcPr>
          <w:p>
            <w:pPr>
              <w:spacing w:line="240" w:lineRule="exact"/>
              <w:jc w:val="center"/>
              <w:rPr>
                <w:rFonts w:ascii="宋体" w:hAnsi="宋体"/>
                <w:sz w:val="18"/>
              </w:rPr>
            </w:pPr>
          </w:p>
        </w:tc>
        <w:tc>
          <w:tcPr>
            <w:tcW w:w="933" w:type="dxa"/>
            <w:vMerge w:val="continue"/>
            <w:vAlign w:val="center"/>
          </w:tcPr>
          <w:p>
            <w:pPr>
              <w:spacing w:line="240" w:lineRule="exact"/>
              <w:jc w:val="center"/>
              <w:rPr>
                <w:rFonts w:ascii="宋体" w:hAnsi="宋体"/>
                <w:sz w:val="18"/>
              </w:rPr>
            </w:pPr>
          </w:p>
        </w:tc>
        <w:tc>
          <w:tcPr>
            <w:tcW w:w="1050" w:type="dxa"/>
            <w:vMerge w:val="continue"/>
            <w:vAlign w:val="center"/>
          </w:tcPr>
          <w:p>
            <w:pPr>
              <w:spacing w:line="240" w:lineRule="exact"/>
              <w:jc w:val="center"/>
              <w:rPr>
                <w:rFonts w:ascii="宋体" w:hAnsi="宋体"/>
                <w:sz w:val="18"/>
              </w:rPr>
            </w:pPr>
          </w:p>
        </w:tc>
        <w:tc>
          <w:tcPr>
            <w:tcW w:w="973" w:type="dxa"/>
            <w:vMerge w:val="continue"/>
            <w:vAlign w:val="center"/>
          </w:tcPr>
          <w:p>
            <w:pPr>
              <w:spacing w:line="240" w:lineRule="exact"/>
              <w:jc w:val="center"/>
              <w:rPr>
                <w:rFonts w:ascii="宋体" w:hAnsi="宋体"/>
                <w:sz w:val="18"/>
              </w:rPr>
            </w:pPr>
          </w:p>
        </w:tc>
        <w:tc>
          <w:tcPr>
            <w:tcW w:w="954" w:type="dxa"/>
            <w:vMerge w:val="continue"/>
            <w:vAlign w:val="center"/>
          </w:tcPr>
          <w:p>
            <w:pPr>
              <w:spacing w:line="240" w:lineRule="exact"/>
              <w:jc w:val="center"/>
              <w:rPr>
                <w:rFonts w:ascii="宋体" w:hAnsi="宋体"/>
                <w:sz w:val="18"/>
              </w:rPr>
            </w:pPr>
          </w:p>
        </w:tc>
        <w:tc>
          <w:tcPr>
            <w:tcW w:w="1143"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705" w:type="dxa"/>
            <w:vMerge w:val="continue"/>
            <w:shd w:val="clear" w:color="auto" w:fill="auto"/>
            <w:vAlign w:val="center"/>
          </w:tcPr>
          <w:p>
            <w:pPr>
              <w:spacing w:line="240" w:lineRule="exact"/>
              <w:jc w:val="center"/>
              <w:rPr>
                <w:rFonts w:ascii="宋体" w:hAnsi="宋体"/>
                <w:sz w:val="18"/>
              </w:rPr>
            </w:pPr>
          </w:p>
        </w:tc>
        <w:tc>
          <w:tcPr>
            <w:tcW w:w="933" w:type="dxa"/>
            <w:vMerge w:val="continue"/>
            <w:vAlign w:val="center"/>
          </w:tcPr>
          <w:p>
            <w:pPr>
              <w:spacing w:line="240" w:lineRule="exact"/>
              <w:jc w:val="center"/>
              <w:rPr>
                <w:rFonts w:ascii="宋体" w:hAnsi="宋体"/>
                <w:sz w:val="18"/>
              </w:rPr>
            </w:pPr>
          </w:p>
        </w:tc>
        <w:tc>
          <w:tcPr>
            <w:tcW w:w="1050" w:type="dxa"/>
            <w:vMerge w:val="continue"/>
            <w:vAlign w:val="center"/>
          </w:tcPr>
          <w:p>
            <w:pPr>
              <w:spacing w:line="240" w:lineRule="exact"/>
              <w:jc w:val="center"/>
              <w:rPr>
                <w:rFonts w:ascii="宋体" w:hAnsi="宋体"/>
                <w:sz w:val="18"/>
              </w:rPr>
            </w:pPr>
          </w:p>
        </w:tc>
        <w:tc>
          <w:tcPr>
            <w:tcW w:w="973" w:type="dxa"/>
            <w:vMerge w:val="continue"/>
            <w:vAlign w:val="center"/>
          </w:tcPr>
          <w:p>
            <w:pPr>
              <w:spacing w:line="240" w:lineRule="exact"/>
              <w:jc w:val="center"/>
              <w:rPr>
                <w:rFonts w:ascii="宋体" w:hAnsi="宋体"/>
                <w:sz w:val="18"/>
              </w:rPr>
            </w:pPr>
          </w:p>
        </w:tc>
        <w:tc>
          <w:tcPr>
            <w:tcW w:w="954" w:type="dxa"/>
            <w:vMerge w:val="continue"/>
            <w:vAlign w:val="center"/>
          </w:tcPr>
          <w:p>
            <w:pPr>
              <w:spacing w:line="240" w:lineRule="exact"/>
              <w:jc w:val="center"/>
              <w:rPr>
                <w:rFonts w:ascii="宋体" w:hAnsi="宋体"/>
                <w:sz w:val="18"/>
              </w:rPr>
            </w:pPr>
          </w:p>
        </w:tc>
        <w:tc>
          <w:tcPr>
            <w:tcW w:w="1143"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rPr>
                <w:rFonts w:ascii="宋体" w:hAnsi="宋体"/>
                <w:sz w:val="18"/>
              </w:rPr>
            </w:pPr>
            <w:r>
              <w:rPr>
                <w:rFonts w:hint="eastAsia" w:ascii="宋体" w:hAnsi="宋体"/>
                <w:sz w:val="18"/>
              </w:rPr>
              <w:t>相关业绩</w:t>
            </w:r>
          </w:p>
        </w:tc>
        <w:tc>
          <w:tcPr>
            <w:tcW w:w="576" w:type="dxa"/>
            <w:shd w:val="clear" w:color="auto" w:fill="auto"/>
            <w:vAlign w:val="center"/>
          </w:tcPr>
          <w:p>
            <w:pPr>
              <w:snapToGrid w:val="0"/>
              <w:spacing w:line="240" w:lineRule="exact"/>
              <w:jc w:val="center"/>
              <w:rPr>
                <w:rFonts w:ascii="宋体" w:hAnsi="宋体"/>
                <w:sz w:val="18"/>
              </w:rPr>
            </w:pPr>
            <w:r>
              <w:rPr>
                <w:rFonts w:hint="eastAsia" w:ascii="宋体" w:hAnsi="宋体"/>
                <w:sz w:val="18"/>
              </w:rPr>
              <w:t>20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承担过类似项目，每提供一份合同复印件（含合同首页、内容所在页、合同金额页、签字盖章页）得5分，最高20分</w:t>
            </w:r>
          </w:p>
        </w:tc>
        <w:tc>
          <w:tcPr>
            <w:tcW w:w="705" w:type="dxa"/>
            <w:shd w:val="clear" w:color="auto" w:fill="auto"/>
            <w:vAlign w:val="center"/>
          </w:tcPr>
          <w:p>
            <w:pPr>
              <w:spacing w:line="240" w:lineRule="exact"/>
              <w:jc w:val="center"/>
              <w:rPr>
                <w:rFonts w:ascii="宋体" w:hAnsi="宋体"/>
                <w:sz w:val="18"/>
              </w:rPr>
            </w:pPr>
            <w:r>
              <w:rPr>
                <w:rFonts w:ascii="宋体" w:hAnsi="宋体"/>
                <w:sz w:val="18"/>
              </w:rPr>
              <w:t>0-</w:t>
            </w:r>
            <w:r>
              <w:rPr>
                <w:rFonts w:hint="eastAsia" w:ascii="宋体" w:hAnsi="宋体"/>
                <w:sz w:val="18"/>
              </w:rPr>
              <w:t>20</w:t>
            </w:r>
          </w:p>
        </w:tc>
        <w:tc>
          <w:tcPr>
            <w:tcW w:w="933" w:type="dxa"/>
            <w:vAlign w:val="center"/>
          </w:tcPr>
          <w:p>
            <w:pPr>
              <w:spacing w:line="240" w:lineRule="exact"/>
              <w:jc w:val="center"/>
              <w:rPr>
                <w:rFonts w:ascii="宋体" w:hAnsi="宋体"/>
                <w:sz w:val="18"/>
              </w:rPr>
            </w:pPr>
          </w:p>
        </w:tc>
        <w:tc>
          <w:tcPr>
            <w:tcW w:w="1050" w:type="dxa"/>
            <w:vAlign w:val="center"/>
          </w:tcPr>
          <w:p>
            <w:pPr>
              <w:spacing w:line="240" w:lineRule="exact"/>
              <w:jc w:val="center"/>
              <w:rPr>
                <w:rFonts w:ascii="宋体" w:hAnsi="宋体"/>
                <w:sz w:val="18"/>
              </w:rPr>
            </w:pPr>
          </w:p>
        </w:tc>
        <w:tc>
          <w:tcPr>
            <w:tcW w:w="973" w:type="dxa"/>
            <w:vAlign w:val="center"/>
          </w:tcPr>
          <w:p>
            <w:pPr>
              <w:spacing w:line="240" w:lineRule="exact"/>
              <w:jc w:val="center"/>
              <w:rPr>
                <w:rFonts w:ascii="宋体" w:hAnsi="宋体"/>
                <w:sz w:val="18"/>
              </w:rPr>
            </w:pPr>
          </w:p>
        </w:tc>
        <w:tc>
          <w:tcPr>
            <w:tcW w:w="954" w:type="dxa"/>
            <w:vAlign w:val="center"/>
          </w:tcPr>
          <w:p>
            <w:pPr>
              <w:spacing w:line="240" w:lineRule="exact"/>
              <w:jc w:val="center"/>
              <w:rPr>
                <w:rFonts w:ascii="宋体" w:hAnsi="宋体"/>
                <w:sz w:val="18"/>
              </w:rPr>
            </w:pPr>
          </w:p>
        </w:tc>
        <w:tc>
          <w:tcPr>
            <w:tcW w:w="1143"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 xml:space="preserve">                                                                                                                                                                                                                                                                                                                                                                                                                                                                                                                                                                                                                                                                                                                                                                                                                                                                                                                                                                                                                                                                                                                                                                                                                                                                                                                                                                                                                                                                                                                                                                                                                                                                                                                                                                                                                                                                                                                                                                                                                                                                                                                                                                                                                                                                                                                                                                                                                                                                                                                                                                                                                                                                                                                                                                                                                                                                                                                                                                                                                                                                                                                                                                                                                                                                                                                                                                                                                                                                                                                        2</w:t>
            </w:r>
          </w:p>
        </w:tc>
        <w:tc>
          <w:tcPr>
            <w:tcW w:w="840" w:type="dxa"/>
            <w:vMerge w:val="restart"/>
            <w:shd w:val="clear" w:color="auto" w:fill="auto"/>
            <w:vAlign w:val="center"/>
          </w:tcPr>
          <w:p>
            <w:pPr>
              <w:spacing w:line="240" w:lineRule="exact"/>
              <w:jc w:val="center"/>
              <w:rPr>
                <w:rFonts w:ascii="宋体" w:hAnsi="宋体"/>
                <w:b/>
                <w:sz w:val="18"/>
              </w:rPr>
            </w:pPr>
            <w:r>
              <w:rPr>
                <w:rFonts w:hint="eastAsia" w:ascii="宋体" w:hAnsi="宋体"/>
                <w:b/>
                <w:sz w:val="18"/>
              </w:rPr>
              <w:t>技术部分（55分）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服务方案与措施</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服务方案完整，合理可行，服务内容及措施细致、具有针对性、可操作性强，能够满足项目需求（10</w:t>
            </w:r>
            <w:r>
              <w:rPr>
                <w:rFonts w:ascii="宋体" w:hAnsi="宋体"/>
                <w:sz w:val="18"/>
              </w:rPr>
              <w:t>-15</w:t>
            </w:r>
            <w:r>
              <w:rPr>
                <w:rFonts w:hint="eastAsia" w:ascii="宋体" w:hAnsi="宋体"/>
                <w:sz w:val="18"/>
              </w:rPr>
              <w:t>）；</w:t>
            </w:r>
          </w:p>
        </w:tc>
        <w:tc>
          <w:tcPr>
            <w:tcW w:w="705"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0</w:t>
            </w:r>
            <w:r>
              <w:rPr>
                <w:rFonts w:ascii="宋体" w:hAnsi="宋体"/>
                <w:sz w:val="18"/>
              </w:rPr>
              <w:t>-15</w:t>
            </w:r>
          </w:p>
        </w:tc>
        <w:tc>
          <w:tcPr>
            <w:tcW w:w="933" w:type="dxa"/>
            <w:vMerge w:val="restart"/>
            <w:vAlign w:val="center"/>
          </w:tcPr>
          <w:p>
            <w:pPr>
              <w:spacing w:line="240" w:lineRule="exact"/>
              <w:jc w:val="center"/>
              <w:rPr>
                <w:rFonts w:ascii="宋体" w:hAnsi="宋体"/>
                <w:sz w:val="18"/>
              </w:rPr>
            </w:pPr>
          </w:p>
        </w:tc>
        <w:tc>
          <w:tcPr>
            <w:tcW w:w="1050" w:type="dxa"/>
            <w:vMerge w:val="restart"/>
            <w:vAlign w:val="center"/>
          </w:tcPr>
          <w:p>
            <w:pPr>
              <w:spacing w:line="240" w:lineRule="exact"/>
              <w:jc w:val="center"/>
              <w:rPr>
                <w:rFonts w:ascii="宋体" w:hAnsi="宋体"/>
                <w:sz w:val="18"/>
              </w:rPr>
            </w:pPr>
          </w:p>
        </w:tc>
        <w:tc>
          <w:tcPr>
            <w:tcW w:w="973" w:type="dxa"/>
            <w:vMerge w:val="restart"/>
            <w:vAlign w:val="center"/>
          </w:tcPr>
          <w:p>
            <w:pPr>
              <w:spacing w:line="240" w:lineRule="exact"/>
              <w:jc w:val="center"/>
              <w:rPr>
                <w:rFonts w:ascii="宋体" w:hAnsi="宋体"/>
                <w:sz w:val="18"/>
              </w:rPr>
            </w:pPr>
          </w:p>
        </w:tc>
        <w:tc>
          <w:tcPr>
            <w:tcW w:w="954" w:type="dxa"/>
            <w:vMerge w:val="restart"/>
            <w:vAlign w:val="center"/>
          </w:tcPr>
          <w:p>
            <w:pPr>
              <w:spacing w:line="240" w:lineRule="exact"/>
              <w:jc w:val="center"/>
              <w:rPr>
                <w:rFonts w:ascii="宋体" w:hAnsi="宋体"/>
                <w:sz w:val="18"/>
              </w:rPr>
            </w:pPr>
          </w:p>
        </w:tc>
        <w:tc>
          <w:tcPr>
            <w:tcW w:w="1143"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服务方案比较完整，服务内容及措施较为细致、较有针对性、可操作性一般，基本能够实现项目需求（5</w:t>
            </w:r>
            <w:r>
              <w:rPr>
                <w:rFonts w:ascii="宋体" w:hAnsi="宋体"/>
                <w:sz w:val="18"/>
              </w:rPr>
              <w:t>-</w:t>
            </w:r>
            <w:r>
              <w:rPr>
                <w:rFonts w:hint="eastAsia" w:ascii="宋体" w:hAnsi="宋体"/>
                <w:sz w:val="18"/>
              </w:rPr>
              <w:t>9）；</w:t>
            </w:r>
          </w:p>
        </w:tc>
        <w:tc>
          <w:tcPr>
            <w:tcW w:w="705" w:type="dxa"/>
            <w:vMerge w:val="continue"/>
            <w:shd w:val="clear" w:color="auto" w:fill="auto"/>
            <w:vAlign w:val="center"/>
          </w:tcPr>
          <w:p>
            <w:pPr>
              <w:spacing w:line="240" w:lineRule="exact"/>
              <w:jc w:val="center"/>
              <w:rPr>
                <w:rFonts w:ascii="宋体" w:hAnsi="宋体"/>
                <w:sz w:val="18"/>
              </w:rPr>
            </w:pPr>
          </w:p>
        </w:tc>
        <w:tc>
          <w:tcPr>
            <w:tcW w:w="933" w:type="dxa"/>
            <w:vMerge w:val="continue"/>
            <w:vAlign w:val="center"/>
          </w:tcPr>
          <w:p>
            <w:pPr>
              <w:spacing w:line="240" w:lineRule="exact"/>
              <w:jc w:val="center"/>
              <w:rPr>
                <w:rFonts w:ascii="宋体" w:hAnsi="宋体"/>
                <w:sz w:val="18"/>
              </w:rPr>
            </w:pPr>
          </w:p>
        </w:tc>
        <w:tc>
          <w:tcPr>
            <w:tcW w:w="1050" w:type="dxa"/>
            <w:vMerge w:val="continue"/>
            <w:vAlign w:val="center"/>
          </w:tcPr>
          <w:p>
            <w:pPr>
              <w:spacing w:line="240" w:lineRule="exact"/>
              <w:jc w:val="center"/>
              <w:rPr>
                <w:rFonts w:ascii="宋体" w:hAnsi="宋体"/>
                <w:sz w:val="18"/>
              </w:rPr>
            </w:pPr>
          </w:p>
        </w:tc>
        <w:tc>
          <w:tcPr>
            <w:tcW w:w="973" w:type="dxa"/>
            <w:vMerge w:val="continue"/>
            <w:vAlign w:val="center"/>
          </w:tcPr>
          <w:p>
            <w:pPr>
              <w:spacing w:line="240" w:lineRule="exact"/>
              <w:jc w:val="center"/>
              <w:rPr>
                <w:rFonts w:ascii="宋体" w:hAnsi="宋体"/>
                <w:sz w:val="18"/>
              </w:rPr>
            </w:pPr>
          </w:p>
        </w:tc>
        <w:tc>
          <w:tcPr>
            <w:tcW w:w="954" w:type="dxa"/>
            <w:vMerge w:val="continue"/>
            <w:vAlign w:val="center"/>
          </w:tcPr>
          <w:p>
            <w:pPr>
              <w:spacing w:line="240" w:lineRule="exact"/>
              <w:jc w:val="center"/>
              <w:rPr>
                <w:rFonts w:ascii="宋体" w:hAnsi="宋体"/>
                <w:sz w:val="18"/>
              </w:rPr>
            </w:pPr>
          </w:p>
        </w:tc>
        <w:tc>
          <w:tcPr>
            <w:tcW w:w="1143"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服务方案内容及措施一般，细致程度、针对性、操作性欠佳（0-4）。</w:t>
            </w:r>
          </w:p>
        </w:tc>
        <w:tc>
          <w:tcPr>
            <w:tcW w:w="705" w:type="dxa"/>
            <w:vMerge w:val="continue"/>
            <w:shd w:val="clear" w:color="auto" w:fill="auto"/>
            <w:vAlign w:val="center"/>
          </w:tcPr>
          <w:p>
            <w:pPr>
              <w:spacing w:line="240" w:lineRule="exact"/>
              <w:jc w:val="center"/>
              <w:rPr>
                <w:rFonts w:ascii="宋体" w:hAnsi="宋体"/>
                <w:sz w:val="18"/>
              </w:rPr>
            </w:pPr>
          </w:p>
        </w:tc>
        <w:tc>
          <w:tcPr>
            <w:tcW w:w="933" w:type="dxa"/>
            <w:vMerge w:val="continue"/>
            <w:vAlign w:val="center"/>
          </w:tcPr>
          <w:p>
            <w:pPr>
              <w:spacing w:line="240" w:lineRule="exact"/>
              <w:jc w:val="center"/>
              <w:rPr>
                <w:rFonts w:ascii="宋体" w:hAnsi="宋体"/>
                <w:sz w:val="18"/>
              </w:rPr>
            </w:pPr>
          </w:p>
        </w:tc>
        <w:tc>
          <w:tcPr>
            <w:tcW w:w="1050" w:type="dxa"/>
            <w:vMerge w:val="continue"/>
            <w:vAlign w:val="center"/>
          </w:tcPr>
          <w:p>
            <w:pPr>
              <w:spacing w:line="240" w:lineRule="exact"/>
              <w:jc w:val="center"/>
              <w:rPr>
                <w:rFonts w:ascii="宋体" w:hAnsi="宋体"/>
                <w:sz w:val="18"/>
              </w:rPr>
            </w:pPr>
          </w:p>
        </w:tc>
        <w:tc>
          <w:tcPr>
            <w:tcW w:w="973" w:type="dxa"/>
            <w:vMerge w:val="continue"/>
            <w:vAlign w:val="center"/>
          </w:tcPr>
          <w:p>
            <w:pPr>
              <w:spacing w:line="240" w:lineRule="exact"/>
              <w:jc w:val="center"/>
              <w:rPr>
                <w:rFonts w:ascii="宋体" w:hAnsi="宋体"/>
                <w:sz w:val="18"/>
              </w:rPr>
            </w:pPr>
          </w:p>
        </w:tc>
        <w:tc>
          <w:tcPr>
            <w:tcW w:w="954" w:type="dxa"/>
            <w:vMerge w:val="continue"/>
            <w:vAlign w:val="center"/>
          </w:tcPr>
          <w:p>
            <w:pPr>
              <w:spacing w:line="240" w:lineRule="exact"/>
              <w:jc w:val="center"/>
              <w:rPr>
                <w:rFonts w:ascii="宋体" w:hAnsi="宋体"/>
                <w:sz w:val="18"/>
              </w:rPr>
            </w:pPr>
          </w:p>
        </w:tc>
        <w:tc>
          <w:tcPr>
            <w:tcW w:w="1143"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napToGrid w:val="0"/>
              <w:spacing w:line="240" w:lineRule="exact"/>
              <w:rPr>
                <w:rFonts w:ascii="宋体" w:hAnsi="宋体"/>
                <w:sz w:val="18"/>
              </w:rPr>
            </w:pPr>
            <w:r>
              <w:rPr>
                <w:rFonts w:hint="eastAsia" w:ascii="宋体" w:hAnsi="宋体"/>
                <w:sz w:val="18"/>
              </w:rPr>
              <w:t>演出内容</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节目内容与演出主题贴合度高，满足</w:t>
            </w:r>
            <w:r>
              <w:rPr>
                <w:rFonts w:hint="eastAsia" w:ascii="宋体" w:hAnsi="宋体" w:cs="宋体"/>
                <w:kern w:val="0"/>
                <w:sz w:val="18"/>
                <w:lang w:eastAsia="zh-CN"/>
              </w:rPr>
              <w:t>演出</w:t>
            </w:r>
            <w:r>
              <w:rPr>
                <w:rFonts w:hint="eastAsia" w:ascii="宋体" w:hAnsi="宋体" w:cs="宋体"/>
                <w:kern w:val="0"/>
                <w:sz w:val="18"/>
              </w:rPr>
              <w:t>要求（10-15）；</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-15</w:t>
            </w:r>
          </w:p>
        </w:tc>
        <w:tc>
          <w:tcPr>
            <w:tcW w:w="933" w:type="dxa"/>
            <w:vMerge w:val="restart"/>
            <w:vAlign w:val="center"/>
          </w:tcPr>
          <w:p>
            <w:pPr>
              <w:spacing w:line="240" w:lineRule="exact"/>
              <w:jc w:val="center"/>
              <w:rPr>
                <w:rFonts w:ascii="宋体" w:hAnsi="宋体" w:cs="宋体"/>
                <w:kern w:val="0"/>
                <w:sz w:val="18"/>
              </w:rPr>
            </w:pPr>
          </w:p>
        </w:tc>
        <w:tc>
          <w:tcPr>
            <w:tcW w:w="1050" w:type="dxa"/>
            <w:vMerge w:val="restart"/>
            <w:vAlign w:val="center"/>
          </w:tcPr>
          <w:p>
            <w:pPr>
              <w:spacing w:line="240" w:lineRule="exact"/>
              <w:jc w:val="center"/>
              <w:rPr>
                <w:rFonts w:ascii="宋体" w:hAnsi="宋体" w:cs="宋体"/>
                <w:kern w:val="0"/>
                <w:sz w:val="18"/>
              </w:rPr>
            </w:pPr>
          </w:p>
        </w:tc>
        <w:tc>
          <w:tcPr>
            <w:tcW w:w="973" w:type="dxa"/>
            <w:vMerge w:val="restart"/>
            <w:vAlign w:val="center"/>
          </w:tcPr>
          <w:p>
            <w:pPr>
              <w:spacing w:line="240" w:lineRule="exact"/>
              <w:jc w:val="center"/>
              <w:rPr>
                <w:rFonts w:ascii="宋体" w:hAnsi="宋体" w:cs="宋体"/>
                <w:kern w:val="0"/>
                <w:sz w:val="18"/>
              </w:rPr>
            </w:pPr>
          </w:p>
        </w:tc>
        <w:tc>
          <w:tcPr>
            <w:tcW w:w="954" w:type="dxa"/>
            <w:vMerge w:val="restart"/>
            <w:vAlign w:val="center"/>
          </w:tcPr>
          <w:p>
            <w:pPr>
              <w:spacing w:line="240" w:lineRule="exact"/>
              <w:jc w:val="center"/>
              <w:rPr>
                <w:rFonts w:ascii="宋体" w:hAnsi="宋体" w:cs="宋体"/>
                <w:kern w:val="0"/>
                <w:sz w:val="18"/>
              </w:rPr>
            </w:pPr>
          </w:p>
        </w:tc>
        <w:tc>
          <w:tcPr>
            <w:tcW w:w="1143"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节目内容与演出主题</w:t>
            </w:r>
            <w:r>
              <w:rPr>
                <w:rFonts w:hint="eastAsia" w:ascii="宋体" w:hAnsi="宋体" w:cs="宋体"/>
                <w:kern w:val="0"/>
                <w:sz w:val="18"/>
                <w:lang w:eastAsia="zh-CN"/>
              </w:rPr>
              <w:t>较为</w:t>
            </w:r>
            <w:r>
              <w:rPr>
                <w:rFonts w:hint="eastAsia" w:ascii="宋体" w:hAnsi="宋体" w:cs="宋体"/>
                <w:kern w:val="0"/>
                <w:sz w:val="18"/>
              </w:rPr>
              <w:t>贴合，基本满足</w:t>
            </w:r>
            <w:r>
              <w:rPr>
                <w:rFonts w:hint="eastAsia" w:ascii="宋体" w:hAnsi="宋体" w:cs="宋体"/>
                <w:kern w:val="0"/>
                <w:sz w:val="18"/>
                <w:lang w:eastAsia="zh-CN"/>
              </w:rPr>
              <w:t>演出</w:t>
            </w:r>
            <w:r>
              <w:rPr>
                <w:rFonts w:hint="eastAsia" w:ascii="宋体" w:hAnsi="宋体" w:cs="宋体"/>
                <w:kern w:val="0"/>
                <w:sz w:val="18"/>
              </w:rPr>
              <w:t>要求（5-9）；</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933" w:type="dxa"/>
            <w:vMerge w:val="continue"/>
            <w:vAlign w:val="center"/>
          </w:tcPr>
          <w:p>
            <w:pPr>
              <w:spacing w:line="240" w:lineRule="exact"/>
              <w:jc w:val="center"/>
              <w:rPr>
                <w:rFonts w:ascii="宋体" w:hAnsi="宋体" w:cs="宋体"/>
                <w:kern w:val="0"/>
                <w:sz w:val="18"/>
              </w:rPr>
            </w:pPr>
          </w:p>
        </w:tc>
        <w:tc>
          <w:tcPr>
            <w:tcW w:w="1050" w:type="dxa"/>
            <w:vMerge w:val="continue"/>
            <w:vAlign w:val="center"/>
          </w:tcPr>
          <w:p>
            <w:pPr>
              <w:spacing w:line="240" w:lineRule="exact"/>
              <w:jc w:val="center"/>
              <w:rPr>
                <w:rFonts w:ascii="宋体" w:hAnsi="宋体" w:cs="宋体"/>
                <w:kern w:val="0"/>
                <w:sz w:val="18"/>
              </w:rPr>
            </w:pPr>
          </w:p>
        </w:tc>
        <w:tc>
          <w:tcPr>
            <w:tcW w:w="973" w:type="dxa"/>
            <w:vMerge w:val="continue"/>
            <w:vAlign w:val="center"/>
          </w:tcPr>
          <w:p>
            <w:pPr>
              <w:spacing w:line="240" w:lineRule="exact"/>
              <w:jc w:val="center"/>
              <w:rPr>
                <w:rFonts w:ascii="宋体" w:hAnsi="宋体" w:cs="宋体"/>
                <w:kern w:val="0"/>
                <w:sz w:val="18"/>
              </w:rPr>
            </w:pPr>
          </w:p>
        </w:tc>
        <w:tc>
          <w:tcPr>
            <w:tcW w:w="954" w:type="dxa"/>
            <w:vMerge w:val="continue"/>
            <w:vAlign w:val="center"/>
          </w:tcPr>
          <w:p>
            <w:pPr>
              <w:spacing w:line="240" w:lineRule="exact"/>
              <w:jc w:val="center"/>
              <w:rPr>
                <w:rFonts w:ascii="宋体" w:hAnsi="宋体" w:cs="宋体"/>
                <w:kern w:val="0"/>
                <w:sz w:val="18"/>
              </w:rPr>
            </w:pPr>
          </w:p>
        </w:tc>
        <w:tc>
          <w:tcPr>
            <w:tcW w:w="1143"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节目内容与演出主题</w:t>
            </w:r>
            <w:r>
              <w:rPr>
                <w:rFonts w:hint="eastAsia" w:ascii="宋体" w:hAnsi="宋体" w:cs="宋体"/>
                <w:kern w:val="0"/>
                <w:sz w:val="18"/>
                <w:lang w:eastAsia="zh-CN"/>
              </w:rPr>
              <w:t>不太</w:t>
            </w:r>
            <w:r>
              <w:rPr>
                <w:rFonts w:hint="eastAsia" w:ascii="宋体" w:hAnsi="宋体" w:cs="宋体"/>
                <w:kern w:val="0"/>
                <w:sz w:val="18"/>
              </w:rPr>
              <w:t>贴合，不能满足</w:t>
            </w:r>
            <w:r>
              <w:rPr>
                <w:rFonts w:hint="eastAsia" w:ascii="宋体" w:hAnsi="宋体" w:cs="宋体"/>
                <w:kern w:val="0"/>
                <w:sz w:val="18"/>
                <w:lang w:eastAsia="zh-CN"/>
              </w:rPr>
              <w:t>演出</w:t>
            </w:r>
            <w:r>
              <w:rPr>
                <w:rFonts w:hint="eastAsia" w:ascii="宋体" w:hAnsi="宋体" w:cs="宋体"/>
                <w:kern w:val="0"/>
                <w:sz w:val="18"/>
              </w:rPr>
              <w:t>要求（0-4）。</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933" w:type="dxa"/>
            <w:vMerge w:val="continue"/>
            <w:vAlign w:val="center"/>
          </w:tcPr>
          <w:p>
            <w:pPr>
              <w:spacing w:line="240" w:lineRule="exact"/>
              <w:jc w:val="center"/>
              <w:rPr>
                <w:rFonts w:ascii="宋体" w:hAnsi="宋体" w:cs="宋体"/>
                <w:kern w:val="0"/>
                <w:sz w:val="18"/>
              </w:rPr>
            </w:pPr>
          </w:p>
        </w:tc>
        <w:tc>
          <w:tcPr>
            <w:tcW w:w="1050" w:type="dxa"/>
            <w:vMerge w:val="continue"/>
            <w:vAlign w:val="center"/>
          </w:tcPr>
          <w:p>
            <w:pPr>
              <w:spacing w:line="240" w:lineRule="exact"/>
              <w:jc w:val="center"/>
              <w:rPr>
                <w:rFonts w:ascii="宋体" w:hAnsi="宋体" w:cs="宋体"/>
                <w:kern w:val="0"/>
                <w:sz w:val="18"/>
              </w:rPr>
            </w:pPr>
          </w:p>
        </w:tc>
        <w:tc>
          <w:tcPr>
            <w:tcW w:w="973" w:type="dxa"/>
            <w:vMerge w:val="continue"/>
            <w:vAlign w:val="center"/>
          </w:tcPr>
          <w:p>
            <w:pPr>
              <w:spacing w:line="240" w:lineRule="exact"/>
              <w:jc w:val="center"/>
              <w:rPr>
                <w:rFonts w:ascii="宋体" w:hAnsi="宋体" w:cs="宋体"/>
                <w:kern w:val="0"/>
                <w:sz w:val="18"/>
              </w:rPr>
            </w:pPr>
          </w:p>
        </w:tc>
        <w:tc>
          <w:tcPr>
            <w:tcW w:w="954" w:type="dxa"/>
            <w:vMerge w:val="continue"/>
            <w:vAlign w:val="center"/>
          </w:tcPr>
          <w:p>
            <w:pPr>
              <w:spacing w:line="240" w:lineRule="exact"/>
              <w:jc w:val="center"/>
              <w:rPr>
                <w:rFonts w:ascii="宋体" w:hAnsi="宋体" w:cs="宋体"/>
                <w:kern w:val="0"/>
                <w:sz w:val="18"/>
              </w:rPr>
            </w:pPr>
          </w:p>
        </w:tc>
        <w:tc>
          <w:tcPr>
            <w:tcW w:w="1143"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cs="宋体"/>
                <w:kern w:val="0"/>
                <w:sz w:val="18"/>
              </w:rPr>
            </w:pPr>
            <w:r>
              <w:rPr>
                <w:rFonts w:hint="eastAsia" w:ascii="宋体" w:hAnsi="宋体"/>
                <w:sz w:val="18"/>
              </w:rPr>
              <w:t>人员组织</w:t>
            </w:r>
          </w:p>
        </w:tc>
        <w:tc>
          <w:tcPr>
            <w:tcW w:w="576"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15</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项目参与人员安排稳定，分工合理，负责人</w:t>
            </w:r>
            <w:r>
              <w:rPr>
                <w:rFonts w:hint="eastAsia" w:ascii="宋体" w:hAnsi="宋体"/>
                <w:color w:val="000000"/>
                <w:sz w:val="18"/>
              </w:rPr>
              <w:t>具有充分的相关服务经验</w:t>
            </w:r>
            <w:r>
              <w:rPr>
                <w:rFonts w:hint="eastAsia" w:ascii="宋体" w:hAnsi="宋体" w:cs="宋体"/>
                <w:kern w:val="0"/>
                <w:sz w:val="18"/>
              </w:rPr>
              <w:t>，相关专业和资质齐全（7-15）；</w:t>
            </w:r>
          </w:p>
        </w:tc>
        <w:tc>
          <w:tcPr>
            <w:tcW w:w="705" w:type="dxa"/>
            <w:vMerge w:val="restart"/>
            <w:shd w:val="clear" w:color="auto" w:fill="auto"/>
            <w:vAlign w:val="center"/>
          </w:tcPr>
          <w:p>
            <w:pPr>
              <w:spacing w:line="240" w:lineRule="exact"/>
              <w:jc w:val="center"/>
              <w:rPr>
                <w:rFonts w:ascii="宋体" w:hAnsi="宋体" w:cs="宋体"/>
                <w:kern w:val="0"/>
                <w:sz w:val="18"/>
              </w:rPr>
            </w:pPr>
            <w:r>
              <w:rPr>
                <w:rFonts w:ascii="宋体" w:hAnsi="宋体" w:cs="宋体"/>
                <w:kern w:val="0"/>
                <w:sz w:val="18"/>
              </w:rPr>
              <w:t>0-</w:t>
            </w:r>
            <w:r>
              <w:rPr>
                <w:rFonts w:hint="eastAsia" w:ascii="宋体" w:hAnsi="宋体" w:cs="宋体"/>
                <w:kern w:val="0"/>
                <w:sz w:val="18"/>
              </w:rPr>
              <w:t>15</w:t>
            </w:r>
          </w:p>
        </w:tc>
        <w:tc>
          <w:tcPr>
            <w:tcW w:w="933" w:type="dxa"/>
            <w:vMerge w:val="restart"/>
            <w:vAlign w:val="center"/>
          </w:tcPr>
          <w:p>
            <w:pPr>
              <w:spacing w:line="240" w:lineRule="exact"/>
              <w:jc w:val="center"/>
              <w:rPr>
                <w:rFonts w:ascii="宋体" w:hAnsi="宋体" w:cs="宋体"/>
                <w:kern w:val="0"/>
                <w:sz w:val="18"/>
              </w:rPr>
            </w:pPr>
          </w:p>
        </w:tc>
        <w:tc>
          <w:tcPr>
            <w:tcW w:w="1050" w:type="dxa"/>
            <w:vMerge w:val="restart"/>
            <w:vAlign w:val="center"/>
          </w:tcPr>
          <w:p>
            <w:pPr>
              <w:spacing w:line="240" w:lineRule="exact"/>
              <w:jc w:val="center"/>
              <w:rPr>
                <w:rFonts w:ascii="宋体" w:hAnsi="宋体" w:cs="宋体"/>
                <w:kern w:val="0"/>
                <w:sz w:val="18"/>
              </w:rPr>
            </w:pPr>
          </w:p>
        </w:tc>
        <w:tc>
          <w:tcPr>
            <w:tcW w:w="973" w:type="dxa"/>
            <w:vMerge w:val="restart"/>
            <w:vAlign w:val="center"/>
          </w:tcPr>
          <w:p>
            <w:pPr>
              <w:spacing w:line="240" w:lineRule="exact"/>
              <w:jc w:val="center"/>
              <w:rPr>
                <w:rFonts w:ascii="宋体" w:hAnsi="宋体" w:cs="宋体"/>
                <w:kern w:val="0"/>
                <w:sz w:val="18"/>
              </w:rPr>
            </w:pPr>
          </w:p>
        </w:tc>
        <w:tc>
          <w:tcPr>
            <w:tcW w:w="954" w:type="dxa"/>
            <w:vMerge w:val="restart"/>
            <w:vAlign w:val="center"/>
          </w:tcPr>
          <w:p>
            <w:pPr>
              <w:spacing w:line="240" w:lineRule="exact"/>
              <w:jc w:val="center"/>
              <w:rPr>
                <w:rFonts w:ascii="宋体" w:hAnsi="宋体" w:cs="宋体"/>
                <w:kern w:val="0"/>
                <w:sz w:val="18"/>
              </w:rPr>
            </w:pPr>
          </w:p>
        </w:tc>
        <w:tc>
          <w:tcPr>
            <w:tcW w:w="1143"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widowControl/>
              <w:jc w:val="left"/>
              <w:rPr>
                <w:rFonts w:ascii="宋体" w:hAnsi="宋体" w:cs="宋体"/>
                <w:kern w:val="0"/>
                <w:sz w:val="18"/>
              </w:rPr>
            </w:pPr>
            <w:r>
              <w:rPr>
                <w:rFonts w:hint="eastAsia" w:ascii="宋体" w:hAnsi="宋体" w:cs="宋体"/>
                <w:kern w:val="0"/>
                <w:sz w:val="18"/>
              </w:rPr>
              <w:t>项目参与人员安排较为合理，负责人对项目</w:t>
            </w:r>
            <w:r>
              <w:rPr>
                <w:rFonts w:hint="eastAsia" w:ascii="宋体" w:hAnsi="宋体"/>
                <w:color w:val="000000"/>
                <w:sz w:val="18"/>
              </w:rPr>
              <w:t>服务经验一般</w:t>
            </w:r>
            <w:r>
              <w:rPr>
                <w:rFonts w:hint="eastAsia" w:ascii="宋体" w:hAnsi="宋体" w:cs="宋体"/>
                <w:kern w:val="0"/>
                <w:sz w:val="18"/>
              </w:rPr>
              <w:t>，相关专业和资质基本齐全，（1-6）；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933" w:type="dxa"/>
            <w:vMerge w:val="continue"/>
            <w:vAlign w:val="center"/>
          </w:tcPr>
          <w:p>
            <w:pPr>
              <w:spacing w:line="240" w:lineRule="exact"/>
              <w:jc w:val="center"/>
              <w:rPr>
                <w:rFonts w:ascii="宋体" w:hAnsi="宋体" w:cs="宋体"/>
                <w:kern w:val="0"/>
                <w:sz w:val="18"/>
              </w:rPr>
            </w:pPr>
          </w:p>
        </w:tc>
        <w:tc>
          <w:tcPr>
            <w:tcW w:w="1050" w:type="dxa"/>
            <w:vMerge w:val="continue"/>
            <w:vAlign w:val="center"/>
          </w:tcPr>
          <w:p>
            <w:pPr>
              <w:spacing w:line="240" w:lineRule="exact"/>
              <w:jc w:val="center"/>
              <w:rPr>
                <w:rFonts w:ascii="宋体" w:hAnsi="宋体" w:cs="宋体"/>
                <w:kern w:val="0"/>
                <w:sz w:val="18"/>
              </w:rPr>
            </w:pPr>
          </w:p>
        </w:tc>
        <w:tc>
          <w:tcPr>
            <w:tcW w:w="973" w:type="dxa"/>
            <w:vMerge w:val="continue"/>
            <w:vAlign w:val="center"/>
          </w:tcPr>
          <w:p>
            <w:pPr>
              <w:spacing w:line="240" w:lineRule="exact"/>
              <w:jc w:val="center"/>
              <w:rPr>
                <w:rFonts w:ascii="宋体" w:hAnsi="宋体" w:cs="宋体"/>
                <w:kern w:val="0"/>
                <w:sz w:val="18"/>
              </w:rPr>
            </w:pPr>
          </w:p>
        </w:tc>
        <w:tc>
          <w:tcPr>
            <w:tcW w:w="954" w:type="dxa"/>
            <w:vMerge w:val="continue"/>
            <w:vAlign w:val="center"/>
          </w:tcPr>
          <w:p>
            <w:pPr>
              <w:spacing w:line="240" w:lineRule="exact"/>
              <w:jc w:val="center"/>
              <w:rPr>
                <w:rFonts w:ascii="宋体" w:hAnsi="宋体" w:cs="宋体"/>
                <w:kern w:val="0"/>
                <w:sz w:val="18"/>
              </w:rPr>
            </w:pPr>
          </w:p>
        </w:tc>
        <w:tc>
          <w:tcPr>
            <w:tcW w:w="1143"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质量</w:t>
            </w:r>
            <w:r>
              <w:rPr>
                <w:rFonts w:hint="eastAsia" w:ascii="宋体" w:hAnsi="宋体"/>
                <w:sz w:val="18"/>
                <w:lang w:eastAsia="zh-CN"/>
              </w:rPr>
              <w:t>、安全</w:t>
            </w:r>
            <w:r>
              <w:rPr>
                <w:rFonts w:hint="eastAsia" w:ascii="宋体" w:hAnsi="宋体"/>
                <w:sz w:val="18"/>
              </w:rPr>
              <w:t>保证和服务承诺</w:t>
            </w:r>
          </w:p>
        </w:tc>
        <w:tc>
          <w:tcPr>
            <w:tcW w:w="576"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0</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项目质量分解、规划合理，有售后服务承诺，工作方法规范，</w:t>
            </w:r>
            <w:r>
              <w:rPr>
                <w:rFonts w:hint="eastAsia" w:ascii="宋体" w:hAnsi="宋体" w:cs="宋体"/>
                <w:kern w:val="0"/>
                <w:sz w:val="18"/>
                <w:lang w:eastAsia="zh-CN"/>
              </w:rPr>
              <w:t>安全</w:t>
            </w:r>
            <w:r>
              <w:rPr>
                <w:rFonts w:hint="eastAsia" w:ascii="宋体" w:hAnsi="宋体" w:cs="宋体"/>
                <w:kern w:val="0"/>
                <w:sz w:val="18"/>
              </w:rPr>
              <w:t>控制手段完善，针对性、可行性强（7</w:t>
            </w:r>
            <w:r>
              <w:rPr>
                <w:rFonts w:ascii="宋体" w:hAnsi="宋体" w:cs="宋体"/>
                <w:kern w:val="0"/>
                <w:sz w:val="18"/>
              </w:rPr>
              <w:t>-10</w:t>
            </w:r>
            <w:r>
              <w:rPr>
                <w:rFonts w:hint="eastAsia" w:ascii="宋体" w:hAnsi="宋体" w:cs="宋体"/>
                <w:kern w:val="0"/>
                <w:sz w:val="18"/>
              </w:rPr>
              <w:t>）；</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933" w:type="dxa"/>
            <w:vMerge w:val="restart"/>
            <w:vAlign w:val="center"/>
          </w:tcPr>
          <w:p>
            <w:pPr>
              <w:spacing w:line="240" w:lineRule="exact"/>
              <w:jc w:val="center"/>
              <w:rPr>
                <w:rFonts w:ascii="宋体" w:hAnsi="宋体" w:cs="宋体"/>
                <w:kern w:val="0"/>
                <w:sz w:val="18"/>
              </w:rPr>
            </w:pPr>
          </w:p>
        </w:tc>
        <w:tc>
          <w:tcPr>
            <w:tcW w:w="1050" w:type="dxa"/>
            <w:vMerge w:val="restart"/>
            <w:vAlign w:val="center"/>
          </w:tcPr>
          <w:p>
            <w:pPr>
              <w:spacing w:line="240" w:lineRule="exact"/>
              <w:jc w:val="center"/>
              <w:rPr>
                <w:rFonts w:ascii="宋体" w:hAnsi="宋体" w:cs="宋体"/>
                <w:kern w:val="0"/>
                <w:sz w:val="18"/>
              </w:rPr>
            </w:pPr>
          </w:p>
        </w:tc>
        <w:tc>
          <w:tcPr>
            <w:tcW w:w="973" w:type="dxa"/>
            <w:vMerge w:val="restart"/>
            <w:vAlign w:val="center"/>
          </w:tcPr>
          <w:p>
            <w:pPr>
              <w:spacing w:line="240" w:lineRule="exact"/>
              <w:jc w:val="center"/>
              <w:rPr>
                <w:rFonts w:ascii="宋体" w:hAnsi="宋体" w:cs="宋体"/>
                <w:kern w:val="0"/>
                <w:sz w:val="18"/>
              </w:rPr>
            </w:pPr>
          </w:p>
        </w:tc>
        <w:tc>
          <w:tcPr>
            <w:tcW w:w="954" w:type="dxa"/>
            <w:vMerge w:val="restart"/>
            <w:vAlign w:val="center"/>
          </w:tcPr>
          <w:p>
            <w:pPr>
              <w:spacing w:line="240" w:lineRule="exact"/>
              <w:jc w:val="center"/>
              <w:rPr>
                <w:rFonts w:ascii="宋体" w:hAnsi="宋体" w:cs="宋体"/>
                <w:kern w:val="0"/>
                <w:sz w:val="18"/>
              </w:rPr>
            </w:pPr>
          </w:p>
        </w:tc>
        <w:tc>
          <w:tcPr>
            <w:tcW w:w="1143"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tcPr>
          <w:p>
            <w:pPr>
              <w:spacing w:line="240" w:lineRule="exact"/>
              <w:rPr>
                <w:rFonts w:ascii="宋体" w:hAnsi="宋体" w:cs="宋体"/>
                <w:kern w:val="0"/>
                <w:sz w:val="18"/>
              </w:rPr>
            </w:pPr>
          </w:p>
        </w:tc>
        <w:tc>
          <w:tcPr>
            <w:tcW w:w="576" w:type="dxa"/>
            <w:vMerge w:val="continue"/>
            <w:shd w:val="clear" w:color="auto" w:fill="auto"/>
          </w:tcPr>
          <w:p>
            <w:pPr>
              <w:spacing w:line="240" w:lineRule="exact"/>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项目质量满足工作要求，工作方法较为合理，</w:t>
            </w:r>
            <w:r>
              <w:rPr>
                <w:rFonts w:hint="eastAsia" w:ascii="宋体" w:hAnsi="宋体" w:cs="宋体"/>
                <w:kern w:val="0"/>
                <w:sz w:val="18"/>
                <w:lang w:eastAsia="zh-CN"/>
              </w:rPr>
              <w:t>安全</w:t>
            </w:r>
            <w:r>
              <w:rPr>
                <w:rFonts w:hint="eastAsia" w:ascii="宋体" w:hAnsi="宋体" w:cs="宋体"/>
                <w:kern w:val="0"/>
                <w:sz w:val="18"/>
              </w:rPr>
              <w:t>保障措施一般（1</w:t>
            </w:r>
            <w:r>
              <w:rPr>
                <w:rFonts w:ascii="宋体" w:hAnsi="宋体" w:cs="宋体"/>
                <w:kern w:val="0"/>
                <w:sz w:val="18"/>
              </w:rPr>
              <w:t>-</w:t>
            </w:r>
            <w:r>
              <w:rPr>
                <w:rFonts w:hint="eastAsia" w:ascii="宋体" w:hAnsi="宋体" w:cs="宋体"/>
                <w:kern w:val="0"/>
                <w:sz w:val="18"/>
              </w:rPr>
              <w:t>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933" w:type="dxa"/>
            <w:vMerge w:val="continue"/>
            <w:vAlign w:val="center"/>
          </w:tcPr>
          <w:p>
            <w:pPr>
              <w:spacing w:line="240" w:lineRule="exact"/>
              <w:jc w:val="center"/>
              <w:rPr>
                <w:rFonts w:ascii="宋体" w:hAnsi="宋体" w:cs="宋体"/>
                <w:kern w:val="0"/>
                <w:sz w:val="18"/>
              </w:rPr>
            </w:pPr>
          </w:p>
        </w:tc>
        <w:tc>
          <w:tcPr>
            <w:tcW w:w="1050" w:type="dxa"/>
            <w:vMerge w:val="continue"/>
            <w:vAlign w:val="center"/>
          </w:tcPr>
          <w:p>
            <w:pPr>
              <w:spacing w:line="240" w:lineRule="exact"/>
              <w:jc w:val="center"/>
              <w:rPr>
                <w:rFonts w:ascii="宋体" w:hAnsi="宋体" w:cs="宋体"/>
                <w:kern w:val="0"/>
                <w:sz w:val="18"/>
              </w:rPr>
            </w:pPr>
          </w:p>
        </w:tc>
        <w:tc>
          <w:tcPr>
            <w:tcW w:w="973" w:type="dxa"/>
            <w:vMerge w:val="continue"/>
            <w:vAlign w:val="center"/>
          </w:tcPr>
          <w:p>
            <w:pPr>
              <w:spacing w:line="240" w:lineRule="exact"/>
              <w:jc w:val="center"/>
              <w:rPr>
                <w:rFonts w:ascii="宋体" w:hAnsi="宋体" w:cs="宋体"/>
                <w:kern w:val="0"/>
                <w:sz w:val="18"/>
              </w:rPr>
            </w:pPr>
          </w:p>
        </w:tc>
        <w:tc>
          <w:tcPr>
            <w:tcW w:w="954" w:type="dxa"/>
            <w:vMerge w:val="continue"/>
            <w:vAlign w:val="center"/>
          </w:tcPr>
          <w:p>
            <w:pPr>
              <w:spacing w:line="240" w:lineRule="exact"/>
              <w:jc w:val="center"/>
              <w:rPr>
                <w:rFonts w:ascii="宋体" w:hAnsi="宋体" w:cs="宋体"/>
                <w:kern w:val="0"/>
                <w:sz w:val="18"/>
              </w:rPr>
            </w:pPr>
          </w:p>
        </w:tc>
        <w:tc>
          <w:tcPr>
            <w:tcW w:w="1143"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响应报价（10分）</w:t>
            </w:r>
          </w:p>
        </w:tc>
        <w:tc>
          <w:tcPr>
            <w:tcW w:w="7023" w:type="dxa"/>
            <w:gridSpan w:val="3"/>
            <w:shd w:val="clear" w:color="auto" w:fill="auto"/>
            <w:vAlign w:val="center"/>
          </w:tcPr>
          <w:p>
            <w:pPr>
              <w:snapToGrid w:val="0"/>
              <w:spacing w:line="24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933" w:type="dxa"/>
            <w:vAlign w:val="center"/>
          </w:tcPr>
          <w:p>
            <w:pPr>
              <w:spacing w:line="240" w:lineRule="exact"/>
              <w:jc w:val="center"/>
              <w:rPr>
                <w:rFonts w:ascii="宋体" w:hAnsi="宋体" w:cs="宋体"/>
                <w:kern w:val="0"/>
                <w:sz w:val="18"/>
              </w:rPr>
            </w:pPr>
          </w:p>
        </w:tc>
        <w:tc>
          <w:tcPr>
            <w:tcW w:w="1050" w:type="dxa"/>
            <w:vAlign w:val="center"/>
          </w:tcPr>
          <w:p>
            <w:pPr>
              <w:spacing w:line="240" w:lineRule="exact"/>
              <w:jc w:val="center"/>
              <w:rPr>
                <w:rFonts w:ascii="宋体" w:hAnsi="宋体" w:cs="宋体"/>
                <w:kern w:val="0"/>
                <w:sz w:val="18"/>
              </w:rPr>
            </w:pPr>
          </w:p>
        </w:tc>
        <w:tc>
          <w:tcPr>
            <w:tcW w:w="973" w:type="dxa"/>
            <w:vAlign w:val="center"/>
          </w:tcPr>
          <w:p>
            <w:pPr>
              <w:spacing w:line="240" w:lineRule="exact"/>
              <w:jc w:val="center"/>
              <w:rPr>
                <w:rFonts w:ascii="宋体" w:hAnsi="宋体" w:cs="宋体"/>
                <w:kern w:val="0"/>
                <w:sz w:val="18"/>
              </w:rPr>
            </w:pPr>
          </w:p>
        </w:tc>
        <w:tc>
          <w:tcPr>
            <w:tcW w:w="954" w:type="dxa"/>
            <w:vAlign w:val="center"/>
          </w:tcPr>
          <w:p>
            <w:pPr>
              <w:spacing w:line="240" w:lineRule="exact"/>
              <w:jc w:val="center"/>
              <w:rPr>
                <w:rFonts w:ascii="宋体" w:hAnsi="宋体" w:cs="宋体"/>
                <w:kern w:val="0"/>
                <w:sz w:val="18"/>
              </w:rPr>
            </w:pPr>
          </w:p>
        </w:tc>
        <w:tc>
          <w:tcPr>
            <w:tcW w:w="1143"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023" w:type="dxa"/>
            <w:gridSpan w:val="3"/>
            <w:shd w:val="clear" w:color="auto" w:fill="auto"/>
            <w:vAlign w:val="center"/>
          </w:tcPr>
          <w:p>
            <w:pPr>
              <w:spacing w:line="240" w:lineRule="exact"/>
              <w:rPr>
                <w:rFonts w:ascii="宋体" w:hAnsi="宋体" w:cs="宋体"/>
                <w:b/>
                <w:kern w:val="0"/>
                <w:sz w:val="18"/>
              </w:rPr>
            </w:pPr>
          </w:p>
        </w:tc>
        <w:tc>
          <w:tcPr>
            <w:tcW w:w="705" w:type="dxa"/>
            <w:shd w:val="clear" w:color="auto" w:fill="auto"/>
            <w:vAlign w:val="center"/>
          </w:tcPr>
          <w:p>
            <w:pPr>
              <w:spacing w:line="240" w:lineRule="exact"/>
              <w:rPr>
                <w:rFonts w:ascii="宋体" w:hAnsi="宋体" w:cs="宋体"/>
                <w:b/>
                <w:kern w:val="0"/>
                <w:sz w:val="18"/>
              </w:rPr>
            </w:pPr>
          </w:p>
        </w:tc>
        <w:tc>
          <w:tcPr>
            <w:tcW w:w="933" w:type="dxa"/>
            <w:vAlign w:val="center"/>
          </w:tcPr>
          <w:p>
            <w:pPr>
              <w:spacing w:line="240" w:lineRule="exact"/>
              <w:jc w:val="center"/>
              <w:rPr>
                <w:rFonts w:ascii="宋体" w:hAnsi="宋体" w:cs="宋体"/>
                <w:b/>
                <w:kern w:val="0"/>
                <w:sz w:val="18"/>
              </w:rPr>
            </w:pPr>
          </w:p>
        </w:tc>
        <w:tc>
          <w:tcPr>
            <w:tcW w:w="1050" w:type="dxa"/>
            <w:vAlign w:val="center"/>
          </w:tcPr>
          <w:p>
            <w:pPr>
              <w:spacing w:line="240" w:lineRule="exact"/>
              <w:jc w:val="center"/>
              <w:rPr>
                <w:rFonts w:ascii="宋体" w:hAnsi="宋体" w:cs="宋体"/>
                <w:b/>
                <w:kern w:val="0"/>
                <w:sz w:val="18"/>
              </w:rPr>
            </w:pPr>
          </w:p>
        </w:tc>
        <w:tc>
          <w:tcPr>
            <w:tcW w:w="973" w:type="dxa"/>
            <w:vAlign w:val="center"/>
          </w:tcPr>
          <w:p>
            <w:pPr>
              <w:spacing w:line="240" w:lineRule="exact"/>
              <w:jc w:val="center"/>
              <w:rPr>
                <w:rFonts w:ascii="宋体" w:hAnsi="宋体" w:cs="宋体"/>
                <w:b/>
                <w:kern w:val="0"/>
                <w:sz w:val="18"/>
              </w:rPr>
            </w:pPr>
          </w:p>
        </w:tc>
        <w:tc>
          <w:tcPr>
            <w:tcW w:w="954" w:type="dxa"/>
            <w:vAlign w:val="center"/>
          </w:tcPr>
          <w:p>
            <w:pPr>
              <w:spacing w:line="240" w:lineRule="exact"/>
              <w:jc w:val="center"/>
              <w:rPr>
                <w:rFonts w:ascii="宋体" w:hAnsi="宋体" w:cs="宋体"/>
                <w:b/>
                <w:kern w:val="0"/>
                <w:sz w:val="18"/>
              </w:rPr>
            </w:pPr>
          </w:p>
        </w:tc>
        <w:tc>
          <w:tcPr>
            <w:tcW w:w="1143" w:type="dxa"/>
            <w:vAlign w:val="center"/>
          </w:tcPr>
          <w:p>
            <w:pPr>
              <w:spacing w:line="240" w:lineRule="exact"/>
              <w:jc w:val="center"/>
              <w:rPr>
                <w:rFonts w:ascii="宋体" w:hAnsi="宋体" w:cs="宋体"/>
                <w:b/>
                <w:kern w:val="0"/>
                <w:sz w:val="18"/>
              </w:rPr>
            </w:pPr>
          </w:p>
        </w:tc>
      </w:tr>
    </w:tbl>
    <w:p>
      <w:pPr>
        <w:ind w:firstLine="420" w:firstLineChars="200"/>
        <w:rPr>
          <w:rFonts w:ascii="宋体" w:eastAsia="宋体" w:hAnsiTheme="minorEastAsia"/>
        </w:rPr>
      </w:pPr>
      <w:r>
        <w:rPr>
          <w:rFonts w:hint="eastAsia" w:ascii="宋体-18030" w:hAnsi="宋体-18030" w:eastAsia="宋体-18030" w:cs="宋体-18030"/>
          <w:color w:val="000000"/>
          <w:kern w:val="0"/>
          <w:szCs w:val="21"/>
        </w:rPr>
        <w:t>评委签名：</w:t>
      </w:r>
      <w:bookmarkStart w:id="0" w:name="_GoBack"/>
      <w:bookmarkEnd w:id="0"/>
    </w:p>
    <w:sectPr>
      <w:headerReference r:id="rId3" w:type="default"/>
      <w:footerReference r:id="rId4" w:type="default"/>
      <w:footerReference r:id="rId5" w:type="even"/>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31CAC"/>
    <w:rsid w:val="000444B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5473C"/>
    <w:rsid w:val="00285A91"/>
    <w:rsid w:val="00287C13"/>
    <w:rsid w:val="002929F8"/>
    <w:rsid w:val="002A43E8"/>
    <w:rsid w:val="002A7AD1"/>
    <w:rsid w:val="002B7AE5"/>
    <w:rsid w:val="002E56E3"/>
    <w:rsid w:val="0030766B"/>
    <w:rsid w:val="00321AAC"/>
    <w:rsid w:val="003464D0"/>
    <w:rsid w:val="00361799"/>
    <w:rsid w:val="00383D4E"/>
    <w:rsid w:val="00384456"/>
    <w:rsid w:val="003B2381"/>
    <w:rsid w:val="003B3BA7"/>
    <w:rsid w:val="003B3E2D"/>
    <w:rsid w:val="003D0874"/>
    <w:rsid w:val="003D61A9"/>
    <w:rsid w:val="003E76FA"/>
    <w:rsid w:val="004000DF"/>
    <w:rsid w:val="00492266"/>
    <w:rsid w:val="004C16AB"/>
    <w:rsid w:val="00500344"/>
    <w:rsid w:val="005325CC"/>
    <w:rsid w:val="0054637B"/>
    <w:rsid w:val="005739B4"/>
    <w:rsid w:val="005929DB"/>
    <w:rsid w:val="00595425"/>
    <w:rsid w:val="005B51A5"/>
    <w:rsid w:val="005F1E8C"/>
    <w:rsid w:val="005F37A1"/>
    <w:rsid w:val="00603B58"/>
    <w:rsid w:val="00660165"/>
    <w:rsid w:val="0066219F"/>
    <w:rsid w:val="00673896"/>
    <w:rsid w:val="006872EF"/>
    <w:rsid w:val="006925ED"/>
    <w:rsid w:val="006B6CBA"/>
    <w:rsid w:val="006B7224"/>
    <w:rsid w:val="006C67CE"/>
    <w:rsid w:val="006D10C4"/>
    <w:rsid w:val="006D4514"/>
    <w:rsid w:val="006D5DC9"/>
    <w:rsid w:val="00710A8F"/>
    <w:rsid w:val="00717C36"/>
    <w:rsid w:val="0073253A"/>
    <w:rsid w:val="007337F1"/>
    <w:rsid w:val="00744872"/>
    <w:rsid w:val="00753B01"/>
    <w:rsid w:val="00753CA2"/>
    <w:rsid w:val="0075544E"/>
    <w:rsid w:val="007660F2"/>
    <w:rsid w:val="0077428D"/>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722BD"/>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BC37B5"/>
    <w:rsid w:val="00BE0BC4"/>
    <w:rsid w:val="00C10A0B"/>
    <w:rsid w:val="00C177AB"/>
    <w:rsid w:val="00C331F6"/>
    <w:rsid w:val="00C415E6"/>
    <w:rsid w:val="00C534FD"/>
    <w:rsid w:val="00C82B87"/>
    <w:rsid w:val="00CA371F"/>
    <w:rsid w:val="00CC4521"/>
    <w:rsid w:val="00D038B4"/>
    <w:rsid w:val="00D30C9B"/>
    <w:rsid w:val="00D930CC"/>
    <w:rsid w:val="00DB5878"/>
    <w:rsid w:val="00DD1C41"/>
    <w:rsid w:val="00DF54B9"/>
    <w:rsid w:val="00E11BE3"/>
    <w:rsid w:val="00E13F34"/>
    <w:rsid w:val="00E412F0"/>
    <w:rsid w:val="00E971A6"/>
    <w:rsid w:val="00EA0020"/>
    <w:rsid w:val="00EB323E"/>
    <w:rsid w:val="00EC1C76"/>
    <w:rsid w:val="00EC4B98"/>
    <w:rsid w:val="00EF1E01"/>
    <w:rsid w:val="00F170E3"/>
    <w:rsid w:val="00F21E20"/>
    <w:rsid w:val="00F45090"/>
    <w:rsid w:val="00F50973"/>
    <w:rsid w:val="00F53B68"/>
    <w:rsid w:val="04D63715"/>
    <w:rsid w:val="05417EB6"/>
    <w:rsid w:val="0E7A28D7"/>
    <w:rsid w:val="244F35E0"/>
    <w:rsid w:val="5A886C12"/>
    <w:rsid w:val="61FA0090"/>
    <w:rsid w:val="68D1342C"/>
    <w:rsid w:val="77367D7D"/>
    <w:rsid w:val="7CD314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ody Text Indent 2"/>
    <w:basedOn w:val="1"/>
    <w:link w:val="18"/>
    <w:qFormat/>
    <w:uiPriority w:val="0"/>
    <w:pPr>
      <w:spacing w:line="360" w:lineRule="auto"/>
      <w:ind w:left="359" w:leftChars="171" w:firstLine="560" w:firstLineChars="200"/>
    </w:pPr>
    <w:rPr>
      <w:rFonts w:ascii="仿宋_GB2312"/>
      <w:bCs/>
      <w:sz w:val="28"/>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10">
    <w:name w:val="Hyperlink"/>
    <w:basedOn w:val="9"/>
    <w:semiHidden/>
    <w:unhideWhenUsed/>
    <w:qFormat/>
    <w:uiPriority w:val="99"/>
    <w:rPr>
      <w:color w:val="404040"/>
      <w:u w:val="none"/>
    </w:rPr>
  </w:style>
  <w:style w:type="character" w:customStyle="1" w:styleId="11">
    <w:name w:val="标题 1 Char"/>
    <w:basedOn w:val="9"/>
    <w:link w:val="2"/>
    <w:qFormat/>
    <w:uiPriority w:val="9"/>
    <w:rPr>
      <w:rFonts w:ascii="宋体" w:hAnsi="宋体" w:eastAsia="宋体" w:cs="宋体"/>
      <w:b/>
      <w:bCs/>
      <w:kern w:val="36"/>
      <w:sz w:val="24"/>
      <w:szCs w:val="24"/>
    </w:rPr>
  </w:style>
  <w:style w:type="character" w:customStyle="1" w:styleId="12">
    <w:name w:val="f-fr"/>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HTML 预设格式 Char"/>
    <w:link w:val="7"/>
    <w:qFormat/>
    <w:uiPriority w:val="0"/>
    <w:rPr>
      <w:rFonts w:ascii="宋体" w:hAnsi="宋体"/>
      <w:sz w:val="24"/>
    </w:rPr>
  </w:style>
  <w:style w:type="character" w:customStyle="1" w:styleId="17">
    <w:name w:val="HTML 预设格式 Char1"/>
    <w:basedOn w:val="9"/>
    <w:semiHidden/>
    <w:qFormat/>
    <w:uiPriority w:val="99"/>
    <w:rPr>
      <w:rFonts w:ascii="Courier New" w:hAnsi="Courier New" w:cs="Courier New"/>
      <w:sz w:val="20"/>
      <w:szCs w:val="20"/>
    </w:rPr>
  </w:style>
  <w:style w:type="character" w:customStyle="1" w:styleId="18">
    <w:name w:val="正文文本缩进 2 Char"/>
    <w:link w:val="4"/>
    <w:qFormat/>
    <w:uiPriority w:val="0"/>
    <w:rPr>
      <w:rFonts w:ascii="仿宋_GB2312"/>
      <w:bCs/>
      <w:sz w:val="28"/>
      <w:szCs w:val="24"/>
    </w:rPr>
  </w:style>
  <w:style w:type="character" w:customStyle="1" w:styleId="19">
    <w:name w:val="正文文本缩进 2 Char1"/>
    <w:basedOn w:val="9"/>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3790</Characters>
  <Lines>31</Lines>
  <Paragraphs>8</Paragraphs>
  <TotalTime>7</TotalTime>
  <ScaleCrop>false</ScaleCrop>
  <LinksUpToDate>false</LinksUpToDate>
  <CharactersWithSpaces>4446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2020-03-25T04:29:00Z</dcterms:created>
  <dc:creator>王剑</dc:creator>
  <cp:lastModifiedBy>李宁</cp:lastModifiedBy>
  <cp:lastPrinted>2020-06-05T05:55:00Z</cp:lastPrinted>
  <dcterms:modified xsi:type="dcterms:W3CDTF">2020-06-05T06:17:34Z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